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（2024）检字6875-88号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35CrMoA/68CrMo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德州联合石油机械有限公司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2300740790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技术协议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技术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