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NinaivX — Literature Survey, in Plain English</w:t>
      </w:r>
    </w:p>
    <w:p>
      <w:pPr>
        <w:jc w:val="center"/>
      </w:pPr>
      <w:r>
        <w:rPr>
          <w:color w:val="555555"/>
          <w:sz w:val="18"/>
        </w:rPr>
        <w:t>A simple summary of all 29 works — what each is and why it matters · Ashwin Kumar Ramesh Kumar · MSc AI, University of Sheffield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val="clear" w:fill="EEF2FF"/>
          </w:tcPr>
          <w:p>
            <w:r>
              <w:rPr>
                <w:b/>
                <w:sz w:val="17"/>
              </w:rPr>
              <w:t>Ref</w:t>
            </w:r>
          </w:p>
        </w:tc>
        <w:tc>
          <w:tcPr>
            <w:tcW w:type="dxa" w:w="3884"/>
            <w:shd w:val="clear" w:fill="EEF2FF"/>
          </w:tcPr>
          <w:p>
            <w:r>
              <w:rPr>
                <w:b/>
                <w:sz w:val="17"/>
              </w:rPr>
              <w:t>Work (author, year)</w:t>
            </w:r>
          </w:p>
        </w:tc>
        <w:tc>
          <w:tcPr>
            <w:tcW w:type="dxa" w:w="3884"/>
            <w:shd w:val="clear" w:fill="EEF2FF"/>
          </w:tcPr>
          <w:p>
            <w:r>
              <w:rPr>
                <w:b/>
                <w:sz w:val="17"/>
              </w:rPr>
              <w:t>What it is — in simple words</w:t>
            </w:r>
          </w:p>
        </w:tc>
        <w:tc>
          <w:tcPr>
            <w:tcW w:type="dxa" w:w="3884"/>
            <w:shd w:val="clear" w:fill="EEF2FF"/>
          </w:tcPr>
          <w:p>
            <w:r>
              <w:rPr>
                <w:b/>
                <w:sz w:val="17"/>
              </w:rPr>
              <w:t>Why it matters to NinaivX</w:t>
            </w:r>
          </w:p>
        </w:tc>
      </w:tr>
      <w:tr>
        <w:tc>
          <w:tcPr>
            <w:tcW w:type="dxa" w:w="15536"/>
            <w:gridSpan w:val="4"/>
            <w:shd w:val="clear" w:fill="4338CA"/>
          </w:tcPr>
          <w:p>
            <w:r>
              <w:rPr>
                <w:b/>
                <w:color w:val="FFFFFF"/>
                <w:sz w:val="18"/>
              </w:rPr>
              <w:t>A · Foundations of conversational AI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1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ELIZA (Weizenbaum, 1966)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The first-ever chatbot — faked a therapist using simple word-matching rules, with no real understanding.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Shows people bond with machines that don't truly understand them (the 'ELIZA effect') — a real risk in a grief app.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2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Transformer (Vaswani et al., 2017)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The AI design ('attention') that powers all modern language models.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The foundation that makes today's realistic conversational AI possible.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3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GPT-3 (Brown et al., 2020)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A very large model that writes fluent, human-like text from just a few examples.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Powerful, but can confidently make things up — dangerous when imitating a real person.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4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BERT (Devlin et al., 2019)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An AI good at understanding text (not generating it).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Useful for understanding tasks, but can't produce the spoken replies my app needs.</w:t>
            </w:r>
          </w:p>
        </w:tc>
      </w:tr>
      <w:tr>
        <w:tc>
          <w:tcPr>
            <w:tcW w:type="dxa" w:w="15536"/>
            <w:gridSpan w:val="4"/>
            <w:shd w:val="clear" w:fill="0D9488"/>
          </w:tcPr>
          <w:p>
            <w:r>
              <w:rPr>
                <w:b/>
                <w:color w:val="FFFFFF"/>
                <w:sz w:val="18"/>
              </w:rPr>
              <w:t>B · Voice technology (speech in &amp; out)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5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Tacotron 2 (Shen et al., 2018)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Turns text into near-human-sounding speech.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A milestone in realistic text-to-speech — but only one fixed voice, no cloning.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6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Whisper (Radford et al., 2023)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Converts speech into text across many accents and noisy conditions.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The kind of speech-to-text that lets users simply talk to the app.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7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VALL-E (Wang et al., 2023)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Clones a person's voice from as little as 3 seconds of audio.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Proves voice cloning is possible — and raises serious consent concerns.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8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ElevenLabs (company, 2022)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A commercial service for AI voice generation and cloning.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The voice engine my app actually uses for speech and cloning.</w:t>
            </w:r>
          </w:p>
        </w:tc>
      </w:tr>
      <w:tr>
        <w:tc>
          <w:tcPr>
            <w:tcW w:type="dxa" w:w="15536"/>
            <w:gridSpan w:val="4"/>
            <w:shd w:val="clear" w:fill="9A6B00"/>
          </w:tcPr>
          <w:p>
            <w:r>
              <w:rPr>
                <w:b/>
                <w:color w:val="FFFFFF"/>
                <w:sz w:val="18"/>
              </w:rPr>
              <w:t>C · AI companions &amp; the loneliness problem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9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WHO report (2025)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Says about 1 in 6 people worldwide are lonely, linked to ~871,000 deaths a year.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Proves the loneliness problem my companion mode addresses is real and huge.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10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Cigna Loneliness Index (2018)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Found ~46% of Americans sometimes or always feel alone.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More evidence that loneliness is widespread.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11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XiaoIce (Zhou et al., 2020)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A hugely popular empathetic chatbot, engineered to keep people chatting for a long time.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Shows companions work — but an engagement-first design can be unhealthy.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12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Ta et al. (2020)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Study: people report real companionship and support from the app Replika.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Evidence that AI companions can genuinely reduce loneliness.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13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Skjuve et al. (2021)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Interviews showing people form real relationships with chatbots.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Emotional bonds do form — though from a small, self-selected study.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14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Replika (company, 2017)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A popular AI companion app — which began from a chatbot built from a dead friend's texts.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A direct competitor, and an early link between companionship and grief.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15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Laestadius et al. (2024)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Study finding people become emotionally dependent on Replika, sometimes with harm.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Warns companion apps can create dependency — my design deliberately avoids this.</w:t>
            </w:r>
          </w:p>
        </w:tc>
      </w:tr>
      <w:tr>
        <w:tc>
          <w:tcPr>
            <w:tcW w:type="dxa" w:w="15536"/>
            <w:gridSpan w:val="4"/>
            <w:shd w:val="clear" w:fill="7F1D1D"/>
          </w:tcPr>
          <w:p>
            <w:r>
              <w:rPr>
                <w:b/>
                <w:color w:val="FFFFFF"/>
                <w:sz w:val="18"/>
              </w:rPr>
              <w:t>D · Digital afterlife &amp; griefbots (recreating a person)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16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HereAfter AI (company, ~2019)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Records a living person's stories, then replays them later in their own voice.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Competitor: safe but only replays recordings — it can't hold a real conversation.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17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Project December (Fagone, 2021)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News story of a man who recreated his late fiancee as a GPT-3 chatbot.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Famous case showing both the deep need and the danger (it can fabricate memories).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18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Microsoft patent (2020)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A patent for building a chatbot of a specific person — explicitly including the deceased.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Shows big firms see value here — but it's just a patent, unbuilt, consent unresolved.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26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You, Only Virtual (company)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A commercial app to phone an AI version of a dead loved one; its founder wants to 'solve' grief.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My closest competitor — I take the opposite stance: support healthy grieving, not eliminate it.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27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BBC 'AI Confidential' (2026)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Documentary featuring YOV; Hannah Fry hears her own cloned voice, is moved to tears, yet calls it 'a lie.'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Real-world evidence of the emotional power — and the ethical debate my project engages.</w:t>
            </w:r>
          </w:p>
        </w:tc>
      </w:tr>
      <w:tr>
        <w:tc>
          <w:tcPr>
            <w:tcW w:type="dxa" w:w="15536"/>
            <w:gridSpan w:val="4"/>
            <w:shd w:val="clear" w:fill="166534"/>
          </w:tcPr>
          <w:p>
            <w:r>
              <w:rPr>
                <w:b/>
                <w:color w:val="FFFFFF"/>
                <w:sz w:val="18"/>
              </w:rPr>
              <w:t>E · Making it safe (stopping made-up answers)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19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Hallucination survey (Ji et al., 2023)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A survey of AI 'hallucination' — when a model makes up false information.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Names the core safety risk that my air-gapped design is built to reduce.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20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RAG (Lewis et al., 2020)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A method that grounds answers in real documents to reduce made-up facts.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The technique behind 'grounding' the deceased persona in stored data.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21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RAG survey (Gao et al., 2023)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A survey organising the many ways to do retrieval-grounded generation.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Overview of deeper grounding methods — a clear avenue for my future work.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22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Llama Guard (Inan et al., 2023)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A safety filter that screens what goes into and out of an AI.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A guardrail approach — but generic, not tailored to grief.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28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LM harms taxonomy (Weidinger et al., 2021)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A structured map of the many harms language models can cause.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Frames hallucination as one of several harms a persona-imitating system must handle.</w:t>
            </w:r>
          </w:p>
        </w:tc>
      </w:tr>
      <w:tr>
        <w:tc>
          <w:tcPr>
            <w:tcW w:type="dxa" w:w="15536"/>
            <w:gridSpan w:val="4"/>
            <w:shd w:val="clear" w:fill="6D28D9"/>
          </w:tcPr>
          <w:p>
            <w:r>
              <w:rPr>
                <w:b/>
                <w:color w:val="FFFFFF"/>
                <w:sz w:val="18"/>
              </w:rPr>
              <w:t>F · Ethics of recreating the dead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23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Öhman &amp; Floridi (2017)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Critique of the 'digital afterlife industry' that monetises data of the dead.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Ethical foundation for how a dead person's data should be handled.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24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Öhman &amp; Floridi (2018)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Argues that digital remains deserve dignity and protection.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Supports my privacy-first, respectful design.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25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Hollanek &amp; Nowaczyk-Basińska (2024)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Proposes safeguards for griefbots: transparency, consent, and dignified 'retirement'.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The most relevant ethics guidance — my AI-disclosure and consent choices follow it.</w:t>
            </w:r>
          </w:p>
        </w:tc>
      </w:tr>
      <w:tr>
        <w:tc>
          <w:tcPr>
            <w:tcW w:type="dxa" w:w="3884"/>
          </w:tcPr>
          <w:p>
            <w:r>
              <w:rPr>
                <w:b/>
                <w:color w:val="4338CA"/>
                <w:sz w:val="16"/>
              </w:rPr>
              <w:t>29</w:t>
            </w:r>
          </w:p>
        </w:tc>
        <w:tc>
          <w:tcPr>
            <w:tcW w:type="dxa" w:w="3884"/>
          </w:tcPr>
          <w:p>
            <w:r>
              <w:rPr>
                <w:b/>
                <w:sz w:val="16"/>
              </w:rPr>
              <w:t>Ethics of 'deathbots' (Lindemann, 2022)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Argues recreating a person creates duties both to the dead and to the grieving.</w:t>
            </w:r>
          </w:p>
        </w:tc>
        <w:tc>
          <w:tcPr>
            <w:tcW w:type="dxa" w:w="3884"/>
          </w:tcPr>
          <w:p>
            <w:r>
              <w:rPr>
                <w:color w:val="14532D"/>
                <w:sz w:val="16"/>
              </w:rPr>
              <w:t>Reinforces the ethical duties my design is built to respect.</w:t>
            </w:r>
          </w:p>
        </w:tc>
      </w:tr>
    </w:tbl>
    <w:p>
      <w:r>
        <w:rPr>
          <w:color w:val="666666"/>
          <w:sz w:val="16"/>
        </w:rPr>
        <w:t>Reference numbers match the Literature Survey and its reference list (all 29 verified against primary sources, June–July 2026).</w:t>
      </w:r>
    </w:p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