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NinaivX — Aims, Objectives, Research Questions &amp; Contribution</w:t>
      </w:r>
    </w:p>
    <w:p>
      <w:pPr>
        <w:jc w:val="center"/>
      </w:pPr>
      <w:r>
        <w:rPr>
          <w:color w:val="555555"/>
          <w:sz w:val="21"/>
        </w:rPr>
        <w:t>Ashwin Kumar Ramesh Kumar · MSc Artificial Intelligence, University of Sheffield · Project Framing (draft)</w:t>
      </w:r>
    </w:p>
    <w:p>
      <w:pPr>
        <w:pStyle w:val="Heading1"/>
      </w:pPr>
      <w:r>
        <w:t>1. Problem and motivation</w:t>
      </w:r>
    </w:p>
    <w:p>
      <w:pPr>
        <w:spacing w:after="160"/>
        <w:jc w:val="both"/>
      </w:pPr>
      <w:r>
        <w:t>Grief and loneliness are widespread and serious. The World Health Organization reports that around one in six people worldwide is affected by loneliness, linked to an estimated 871,000 deaths per year [WHO 2025]. When a loved one dies, the bereaved are left with photographs but no way to hear the person's voice or interact with their personality. In parallel, commercial “digital afterlife” services have begun to appear, demonstrating both genuine demand and significant ethical risk. This project investigates how a voice-based conversational system for the bereaved and the lonely can be designed to be emotionally supportive, factually safe, and privacy-respecting, and evaluates whether such a design is effective.</w:t>
      </w:r>
    </w:p>
    <w:p>
      <w:pPr>
        <w:pStyle w:val="Heading1"/>
      </w:pPr>
      <w:r>
        <w:t>2. Aim</w:t>
      </w:r>
    </w:p>
    <w:p>
      <w:pPr>
        <w:spacing w:after="160"/>
        <w:jc w:val="both"/>
      </w:pPr>
      <w:r>
        <w:t>To design, implement, and evaluate a privacy-first, dual-mode voice conversational AI that (a) supports healthy grieving and companionship, and (b) reduces the risk of factual fabrication when representing a real, deceased person, through an explicit safety-oriented architecture — and to critically assess this approach against existing commercial systems and the relevant ethical literature.</w:t>
      </w:r>
    </w:p>
    <w:p>
      <w:pPr>
        <w:pStyle w:val="Heading1"/>
      </w:pPr>
      <w:r>
        <w:t>3. Objectives</w:t>
      </w:r>
    </w:p>
    <w:p>
      <w:pPr>
        <w:pStyle w:val="ListNumber"/>
      </w:pPr>
      <w:r>
        <w:t>Review the literature on conversational AI, speech synthesis and voice cloning, AI companionship, the digital afterlife industry, and AI safety/ethics, to identify the gap (completed; see Literature Survey).</w:t>
      </w:r>
    </w:p>
    <w:p>
      <w:pPr>
        <w:pStyle w:val="ListNumber"/>
      </w:pPr>
      <w:r>
        <w:t>Design a dual-mode architecture comprising an air-gapped, retrieval-constrained “legacy” (deceased) mode and a web-connected “companion” mode, mediated by a supervisor router.</w:t>
      </w:r>
    </w:p>
    <w:p>
      <w:pPr>
        <w:pStyle w:val="ListNumber"/>
      </w:pPr>
      <w:r>
        <w:t>Implement the backend: agent orchestration, speech-to-text and text-to-speech, persona memory, voice cloning, and secure authentication (completed).</w:t>
      </w:r>
    </w:p>
    <w:p>
      <w:pPr>
        <w:pStyle w:val="ListNumber"/>
      </w:pPr>
      <w:r>
        <w:t>Evaluate the design through a technical evaluation of factual fabrication in the legacy (air-gapped) mode versus the companion (web-connected) mode, using synthetic personas. No human participants are involved (no user study), so no ethical approval is required.</w:t>
      </w:r>
    </w:p>
    <w:p>
      <w:pPr>
        <w:pStyle w:val="ListNumber"/>
      </w:pPr>
      <w:r>
        <w:t>Critically discuss the ethical implications — consent, transparency, and grief support versus grief replacement — relative to existing commercial systems.</w:t>
      </w:r>
    </w:p>
    <w:p>
      <w:pPr>
        <w:pStyle w:val="Heading1"/>
      </w:pPr>
      <w:r>
        <w:t>4. Research questions</w:t>
      </w:r>
    </w:p>
    <w:p>
      <w:pPr>
        <w:spacing w:after="120"/>
      </w:pPr>
      <w:r>
        <w:rPr>
          <w:b/>
        </w:rPr>
        <w:t xml:space="preserve">RQ1. </w:t>
      </w:r>
      <w:r>
        <w:t>Can an air-gapped, retrieval-constrained design reduce factual fabrication in a voice-based legacy persona compared with an unconstrained generative approach, while maintaining perceived conversational quality?</w:t>
      </w:r>
    </w:p>
    <w:p>
      <w:pPr>
        <w:spacing w:after="120"/>
      </w:pPr>
      <w:r>
        <w:rPr>
          <w:b/>
        </w:rPr>
        <w:t xml:space="preserve">RQ2. </w:t>
      </w:r>
      <w:r>
        <w:t>How can a single dual-mode architecture satisfy the differing safety and capability requirements of a deceased (legacy) persona and a living (companion) persona?</w:t>
      </w:r>
    </w:p>
    <w:p>
      <w:pPr>
        <w:pStyle w:val="Heading1"/>
      </w:pPr>
      <w:r>
        <w:t>5. Contribution</w:t>
      </w:r>
    </w:p>
    <w:p>
      <w:pPr>
        <w:pStyle w:val="ListBullet"/>
      </w:pPr>
      <w:r>
        <w:t>A reproducible, openly-documented dual-mode architecture for safety-aware conversational voice AI.</w:t>
      </w:r>
    </w:p>
    <w:p>
      <w:pPr>
        <w:pStyle w:val="ListBullet"/>
      </w:pPr>
      <w:r>
        <w:t>An explicit safety- and privacy-oriented design (air-gapping the deceased persona) that operationalises harms previously raised only in the ethics literature.</w:t>
      </w:r>
    </w:p>
    <w:p>
      <w:pPr>
        <w:pStyle w:val="ListBullet"/>
      </w:pPr>
      <w:r>
        <w:t>An empirical evaluation of that safety design — the element commercial products do not publish.</w:t>
      </w:r>
    </w:p>
    <w:p>
      <w:pPr>
        <w:pStyle w:val="ListBullet"/>
      </w:pPr>
      <w:r>
        <w:t>A critical positioning of the system against existing commercial offerings, including an ethical discussion of grief support versus grief replacement.</w:t>
      </w:r>
    </w:p>
    <w:p>
      <w:pPr>
        <w:pStyle w:val="Heading1"/>
      </w:pPr>
      <w:r>
        <w:t>6. Positioning against existing systems (especially You Only Virtual)</w:t>
      </w:r>
    </w:p>
    <w:p>
      <w:pPr>
        <w:spacing w:after="160"/>
        <w:jc w:val="both"/>
      </w:pPr>
      <w:r>
        <w:t>The existence of commercial systems such as You, Only Virtual (YOV), HereAfter AI, Replika, and Project December confirms the demand for this technology; it does not diminish the academic value of this work, which lies in an explicit, open, evaluated, and ethically-grounded design rather than in commercial novelty. The clearest contrast is with YOV, whose founder publicly frames the goal as the elimination of grief; this project takes the opposite, evidence-informed position of supporting healthy grieving.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You, Only Virtual</w:t>
            </w:r>
          </w:p>
        </w:tc>
        <w:tc>
          <w:tcPr>
            <w:tcW w:type="dxa" w:w="2880"/>
          </w:tcPr>
          <w:p>
            <w:r>
              <w:rPr>
                <w:b/>
              </w:rPr>
              <w:t>NinaivX (this project)</w:t>
            </w:r>
          </w:p>
        </w:tc>
      </w:tr>
      <w:tr>
        <w:tc>
          <w:tcPr>
            <w:tcW w:type="dxa" w:w="2880"/>
          </w:tcPr>
          <w:p>
            <w:r>
              <w:t>Stance on grief</w:t>
            </w:r>
          </w:p>
        </w:tc>
        <w:tc>
          <w:tcPr>
            <w:tcW w:type="dxa" w:w="2880"/>
          </w:tcPr>
          <w:p>
            <w:r>
              <w:t>Aims to eliminate grief / avoid the “hopelessness of forever” (founder's stated goal)</w:t>
            </w:r>
          </w:p>
        </w:tc>
        <w:tc>
          <w:tcPr>
            <w:tcW w:type="dxa" w:w="2880"/>
          </w:tcPr>
          <w:p>
            <w:r>
              <w:t>Supports healthy grieving and closure; a comfort tool, not a permanent replacement</w:t>
            </w:r>
          </w:p>
        </w:tc>
      </w:tr>
      <w:tr>
        <w:tc>
          <w:tcPr>
            <w:tcW w:type="dxa" w:w="2880"/>
          </w:tcPr>
          <w:p>
            <w:r>
              <w:t>Personas</w:t>
            </w:r>
          </w:p>
        </w:tc>
        <w:tc>
          <w:tcPr>
            <w:tcW w:type="dxa" w:w="2880"/>
          </w:tcPr>
          <w:p>
            <w:r>
              <w:t>Deceased only</w:t>
            </w:r>
          </w:p>
        </w:tc>
        <w:tc>
          <w:tcPr>
            <w:tcW w:type="dxa" w:w="2880"/>
          </w:tcPr>
          <w:p>
            <w:r>
              <w:t>Dual-mode: deceased (legacy) and living companion</w:t>
            </w:r>
          </w:p>
        </w:tc>
      </w:tr>
      <w:tr>
        <w:tc>
          <w:tcPr>
            <w:tcW w:type="dxa" w:w="2880"/>
          </w:tcPr>
          <w:p>
            <w:r>
              <w:t>Factual safety</w:t>
            </w:r>
          </w:p>
        </w:tc>
        <w:tc>
          <w:tcPr>
            <w:tcW w:type="dxa" w:w="2880"/>
          </w:tcPr>
          <w:p>
            <w:r>
              <w:t>Generative; safety mechanisms not publicly documented</w:t>
            </w:r>
          </w:p>
        </w:tc>
        <w:tc>
          <w:tcPr>
            <w:tcW w:type="dxa" w:w="2880"/>
          </w:tcPr>
          <w:p>
            <w:r>
              <w:t>Explicit air-gapped, retrieval-constrained legacy mode to limit fabrication</w:t>
            </w:r>
          </w:p>
        </w:tc>
      </w:tr>
      <w:tr>
        <w:tc>
          <w:tcPr>
            <w:tcW w:type="dxa" w:w="2880"/>
          </w:tcPr>
          <w:p>
            <w:r>
              <w:t>Connectivity</w:t>
            </w:r>
          </w:p>
        </w:tc>
        <w:tc>
          <w:tcPr>
            <w:tcW w:type="dxa" w:w="2880"/>
          </w:tcPr>
          <w:p>
            <w:r>
              <w:t>Not publicly specified</w:t>
            </w:r>
          </w:p>
        </w:tc>
        <w:tc>
          <w:tcPr>
            <w:tcW w:type="dxa" w:w="2880"/>
          </w:tcPr>
          <w:p>
            <w:r>
              <w:t>Mode-dependent: legacy air-gapped, companion web-connected</w:t>
            </w:r>
          </w:p>
        </w:tc>
      </w:tr>
      <w:tr>
        <w:tc>
          <w:tcPr>
            <w:tcW w:type="dxa" w:w="2880"/>
          </w:tcPr>
          <w:p>
            <w:r>
              <w:t>Privacy</w:t>
            </w:r>
          </w:p>
        </w:tc>
        <w:tc>
          <w:tcPr>
            <w:tcW w:type="dxa" w:w="2880"/>
          </w:tcPr>
          <w:p>
            <w:r>
              <w:t>US commercial product</w:t>
            </w:r>
          </w:p>
        </w:tc>
        <w:tc>
          <w:tcPr>
            <w:tcW w:type="dxa" w:w="2880"/>
          </w:tcPr>
          <w:p>
            <w:r>
              <w:t>Privacy-first design (air-gapping; data-sovereignty intent)</w:t>
            </w:r>
          </w:p>
        </w:tc>
      </w:tr>
      <w:tr>
        <w:tc>
          <w:tcPr>
            <w:tcW w:type="dxa" w:w="2880"/>
          </w:tcPr>
          <w:p>
            <w:r>
              <w:t>Openness</w:t>
            </w:r>
          </w:p>
        </w:tc>
        <w:tc>
          <w:tcPr>
            <w:tcW w:type="dxa" w:w="2880"/>
          </w:tcPr>
          <w:p>
            <w:r>
              <w:t>Closed, proprietary</w:t>
            </w:r>
          </w:p>
        </w:tc>
        <w:tc>
          <w:tcPr>
            <w:tcW w:type="dxa" w:w="2880"/>
          </w:tcPr>
          <w:p>
            <w:r>
              <w:t>Open, documented, reproducible architecture</w:t>
            </w:r>
          </w:p>
        </w:tc>
      </w:tr>
      <w:tr>
        <w:tc>
          <w:tcPr>
            <w:tcW w:type="dxa" w:w="2880"/>
          </w:tcPr>
          <w:p>
            <w:r>
              <w:t>Evaluation</w:t>
            </w:r>
          </w:p>
        </w:tc>
        <w:tc>
          <w:tcPr>
            <w:tcW w:type="dxa" w:w="2880"/>
          </w:tcPr>
          <w:p>
            <w:r>
              <w:t>None published</w:t>
            </w:r>
          </w:p>
        </w:tc>
        <w:tc>
          <w:tcPr>
            <w:tcW w:type="dxa" w:w="2880"/>
          </w:tcPr>
          <w:p>
            <w:r>
              <w:t>Empirical evaluation of the safety design (core of this dissertation)</w:t>
            </w:r>
          </w:p>
        </w:tc>
      </w:tr>
    </w:tbl>
    <w:p>
      <w:r>
        <w:rPr>
          <w:i/>
          <w:color w:val="555555"/>
          <w:sz w:val="19"/>
        </w:rPr>
        <w:t>Transparency (implemented): the legacy persona discloses its artificial nature — it stays in character but honestly confirms it is an AI recreation if asked, and the app surfaces a disclosure notice (provided by the API) at onboarding and as an in-app indicator, in line with transparency recommendations in the ethics literature (Hollanek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