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Аннагулыев Арслан Мухаммедович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353929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lab6-1.asm (рис. 2).</w:t>
      </w:r>
    </w:p>
    <w:bookmarkStart w:id="30" w:name="fig:002"/>
    <w:p>
      <w:pPr>
        <w:pStyle w:val="CaptionedFigure"/>
      </w:pPr>
      <w:r>
        <w:drawing>
          <wp:inline>
            <wp:extent cx="3733800" cy="194501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341175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3766552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318052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3733800" cy="4148666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301219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lab6-2.asm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95993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3733800" cy="3103864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lab6-2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293248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6" w:name="fig:011"/>
    <w:p>
      <w:pPr>
        <w:pStyle w:val="CaptionedFigure"/>
      </w:pPr>
      <w:r>
        <w:drawing>
          <wp:inline>
            <wp:extent cx="2933700" cy="3378200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302468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4" w:name="fig:013"/>
    <w:p>
      <w:pPr>
        <w:pStyle w:val="CaptionedFigure"/>
      </w:pPr>
      <w:r>
        <w:drawing>
          <wp:inline>
            <wp:extent cx="2705100" cy="34290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4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8" w:name="fig:014"/>
    <w:p>
      <w:pPr>
        <w:pStyle w:val="CaptionedFigure"/>
      </w:pPr>
      <w:r>
        <w:drawing>
          <wp:inline>
            <wp:extent cx="3733800" cy="339134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8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15).</w:t>
      </w:r>
    </w:p>
    <w:bookmarkStart w:id="83" w:name="fig:015"/>
    <w:p>
      <w:pPr>
        <w:pStyle w:val="CaptionedFigure"/>
      </w:pPr>
      <w:r>
        <w:drawing>
          <wp:inline>
            <wp:extent cx="3733800" cy="119694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3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7" w:name="fig:016"/>
    <w:p>
      <w:pPr>
        <w:pStyle w:val="CaptionedFigure"/>
      </w:pPr>
      <w:r>
        <w:drawing>
          <wp:inline>
            <wp:extent cx="3733800" cy="3852333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7"/>
    <w:p>
      <w:pPr>
        <w:pStyle w:val="BodyText"/>
      </w:pPr>
      <w:r>
        <w:t xml:space="preserve">Создаю исполняемый файл и запускаю его (рис. 17).</w:t>
      </w:r>
    </w:p>
    <w:bookmarkStart w:id="91" w:name="fig:017"/>
    <w:p>
      <w:pPr>
        <w:pStyle w:val="CaptionedFigure"/>
      </w:pPr>
      <w:r>
        <w:drawing>
          <wp:inline>
            <wp:extent cx="3733800" cy="374053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5" w:name="fig:018"/>
    <w:p>
      <w:pPr>
        <w:pStyle w:val="CaptionedFigure"/>
      </w:pPr>
      <w:r>
        <w:drawing>
          <wp:inline>
            <wp:extent cx="3733800" cy="4125196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5"/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9" w:name="fig:019"/>
    <w:p>
      <w:pPr>
        <w:pStyle w:val="CaptionedFigure"/>
      </w:pPr>
      <w:r>
        <w:drawing>
          <wp:inline>
            <wp:extent cx="3733800" cy="382781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Создаю файл variant.asm с помощью утилиты touch (рис. 20).</w:t>
      </w:r>
    </w:p>
    <w:bookmarkStart w:id="103" w:name="fig:020"/>
    <w:p>
      <w:pPr>
        <w:pStyle w:val="CaptionedFigure"/>
      </w:pPr>
      <w:r>
        <w:drawing>
          <wp:inline>
            <wp:extent cx="3733800" cy="247397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3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7" w:name="fig:021"/>
    <w:p>
      <w:pPr>
        <w:pStyle w:val="CaptionedFigure"/>
      </w:pPr>
      <w:r>
        <w:drawing>
          <wp:inline>
            <wp:extent cx="3733800" cy="4478974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7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- 8.</w:t>
      </w:r>
    </w:p>
    <w:bookmarkStart w:id="111" w:name="fig:022"/>
    <w:p>
      <w:pPr>
        <w:pStyle w:val="CaptionedFigure"/>
      </w:pPr>
      <w:r>
        <w:drawing>
          <wp:inline>
            <wp:extent cx="3733800" cy="428414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1"/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</w:pPr>
      <w:r>
        <w:t xml:space="preserve">Строка</w:t>
      </w:r>
      <w:r>
        <w:t xml:space="preserve"> </w:t>
      </w:r>
      <w:r>
        <w:t xml:space="preserve">“mov eax,rem”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“call sprint”</w:t>
      </w:r>
      <w:r>
        <w:t xml:space="preserve"> </w:t>
      </w:r>
      <w:r>
        <w:t xml:space="preserve">отвечают за вывод на экран</w:t>
      </w:r>
      <w:r>
        <w:t xml:space="preserve"> </w:t>
      </w:r>
      <w:r>
        <w:t xml:space="preserve">сообщения</w:t>
      </w:r>
      <w:r>
        <w:t xml:space="preserve"> </w:t>
      </w:r>
      <w:r>
        <w:t xml:space="preserve">‘Ваш вариант:’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Эти инструкции используются для чтения строки с вводом данных от поль-</w:t>
      </w:r>
      <w:r>
        <w:t xml:space="preserve"> </w:t>
      </w:r>
      <w:r>
        <w:t xml:space="preserve">зователя. Начальный адрес строки сохраняется в регистре ecx, а количество</w:t>
      </w:r>
      <w:r>
        <w:t xml:space="preserve"> </w:t>
      </w:r>
      <w:r>
        <w:t xml:space="preserve">символов в строке (максимальное количество символов, которое может</w:t>
      </w:r>
      <w:r>
        <w:t xml:space="preserve"> </w:t>
      </w:r>
      <w:r>
        <w:t xml:space="preserve">быть считано) сохраняется в регистре edx. Затем вызывается процедура</w:t>
      </w:r>
      <w:r>
        <w:t xml:space="preserve"> </w:t>
      </w:r>
      <w:r>
        <w:t xml:space="preserve">sread, которая выполняет чтение строки.</w:t>
      </w:r>
    </w:p>
    <w:p>
      <w:pPr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“call atoi”</w:t>
      </w:r>
      <w:r>
        <w:t xml:space="preserve"> </w:t>
      </w:r>
      <w:r>
        <w:t xml:space="preserve">используется для преобразования строки в целое</w:t>
      </w:r>
      <w:r>
        <w:t xml:space="preserve"> </w:t>
      </w:r>
      <w:r>
        <w:t xml:space="preserve">число. Она принимает адрес строки в регистре eax и возвращает полученное</w:t>
      </w:r>
      <w:r>
        <w:t xml:space="preserve"> </w:t>
      </w:r>
      <w:r>
        <w:t xml:space="preserve">число в регистре eax.</w:t>
      </w:r>
    </w:p>
    <w:p>
      <w:pPr>
        <w:numPr>
          <w:ilvl w:val="0"/>
          <w:numId w:val="1002"/>
        </w:numPr>
      </w:pPr>
      <w:r>
        <w:t xml:space="preserve">Строка</w:t>
      </w:r>
      <w:r>
        <w:t xml:space="preserve"> </w:t>
      </w:r>
      <w:r>
        <w:t xml:space="preserve">“xor edx,edx”</w:t>
      </w:r>
      <w:r>
        <w:t xml:space="preserve"> </w:t>
      </w:r>
      <w:r>
        <w:t xml:space="preserve">обнуляет регистр edx перед выполнением деления.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“mov ebx,20”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выполняет деление регистра eax на значение регистра ebx с сохранением</w:t>
      </w:r>
      <w:r>
        <w:t xml:space="preserve"> </w:t>
      </w:r>
      <w:r>
        <w:t xml:space="preserve">частного в регистре eax и остатка в регистре edx.</w:t>
      </w:r>
    </w:p>
    <w:p>
      <w:pPr>
        <w:numPr>
          <w:ilvl w:val="0"/>
          <w:numId w:val="1002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используется для увеличения значения в регистре edx</w:t>
      </w:r>
      <w:r>
        <w:t xml:space="preserve"> </w:t>
      </w:r>
      <w:r>
        <w:t xml:space="preserve">на 1. В данном случае, она увеличивает остаток от деления на 1.</w:t>
      </w:r>
    </w:p>
    <w:p>
      <w:pPr>
        <w:numPr>
          <w:ilvl w:val="0"/>
          <w:numId w:val="1002"/>
        </w:numPr>
      </w:pPr>
      <w:r>
        <w:t xml:space="preserve">Строка</w:t>
      </w:r>
      <w:r>
        <w:t xml:space="preserve"> </w:t>
      </w:r>
      <w:r>
        <w:t xml:space="preserve">“mov eax,edx”</w:t>
      </w:r>
      <w:r>
        <w:t xml:space="preserve"> </w:t>
      </w:r>
      <w:r>
        <w:t xml:space="preserve">передает значение остатка от деления в регистр eax.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“call iprintLF”</w:t>
      </w:r>
      <w:r>
        <w:t xml:space="preserve"> </w:t>
      </w:r>
      <w:r>
        <w:t xml:space="preserve">вызывает процедуру iprintLF для вывода значения на</w:t>
      </w:r>
      <w:r>
        <w:t xml:space="preserve"> </w:t>
      </w:r>
      <w:r>
        <w:t xml:space="preserve">экран вместе с переводом строки.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23).</w:t>
      </w:r>
    </w:p>
    <w:bookmarkStart w:id="117" w:name="fig:023"/>
    <w:p>
      <w:pPr>
        <w:pStyle w:val="CaptionedFigure"/>
      </w:pPr>
      <w:r>
        <w:drawing>
          <wp:inline>
            <wp:extent cx="3733800" cy="559441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7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x^3*1/3+21 (рис. 24). Это выражение было под вариантом 8.</w:t>
      </w:r>
    </w:p>
    <w:bookmarkStart w:id="121" w:name="fig:024"/>
    <w:p>
      <w:pPr>
        <w:pStyle w:val="CaptionedFigure"/>
      </w:pPr>
      <w:r>
        <w:drawing>
          <wp:inline>
            <wp:extent cx="3733800" cy="9944228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1"/>
    <w:p>
      <w:pPr>
        <w:pStyle w:val="BodyText"/>
      </w:pPr>
      <w:r>
        <w:t xml:space="preserve">Создаю и запускаю исполняемый файл (рис. 25). При вводе значения 1, вывод - 21.</w:t>
      </w:r>
    </w:p>
    <w:bookmarkStart w:id="125" w:name="fig:025"/>
    <w:p>
      <w:pPr>
        <w:pStyle w:val="CaptionedFigure"/>
      </w:pPr>
      <w:r>
        <w:drawing>
          <wp:inline>
            <wp:extent cx="3733800" cy="482962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5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bookmarkStart w:id="129" w:name="fig:026"/>
    <w:p>
      <w:pPr>
        <w:pStyle w:val="CaptionedFigure"/>
      </w:pPr>
      <w:r>
        <w:drawing>
          <wp:inline>
            <wp:extent cx="3733800" cy="313092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9"/>
    <w:p>
      <w:pPr>
        <w:pStyle w:val="BodyText"/>
      </w:pPr>
      <w:r>
        <w:t xml:space="preserve">**Листинг 4.1. Программа для вычисления значения выражения x^3*1/3+21.**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rez: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21</w:t>
      </w:r>
      <w:r>
        <w:br/>
      </w:r>
      <w:r>
        <w:rPr>
          <w:rStyle w:val="KeywordTok"/>
        </w:rPr>
        <w:t xml:space="preserve">mov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32"/>
    <w:bookmarkStart w:id="13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133">
        <w:r>
          <w:rPr>
            <w:rStyle w:val="Hyperlink"/>
          </w:rPr>
          <w:t xml:space="preserve">Таблица ASCII</w:t>
        </w:r>
      </w:hyperlink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Аннагулыев Арслан Мухаммедович</dc:creator>
  <dc:language>ru-RU</dc:language>
  <cp:keywords/>
  <dcterms:created xsi:type="dcterms:W3CDTF">2024-11-16T00:30:42Z</dcterms:created>
  <dcterms:modified xsi:type="dcterms:W3CDTF">2024-11-16T00:30:42Z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