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6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5.png" ContentType="image/png"/>
  <Override PartName="/word/media/rId89.png" ContentType="image/png"/>
  <Override PartName="/word/media/rId95.png" ContentType="image/png"/>
  <Override PartName="/word/media/rId99.png" ContentType="image/png"/>
  <Override PartName="/word/media/rId27.png" ContentType="image/png"/>
  <Override PartName="/word/media/rId103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Аннагулыев Арслан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 с помощью GDB</w:t>
      </w:r>
    </w:p>
    <w:p>
      <w:pPr>
        <w:pStyle w:val="Compact"/>
        <w:numPr>
          <w:ilvl w:val="0"/>
          <w:numId w:val="1001"/>
        </w:numPr>
      </w:pPr>
      <w:r>
        <w:t xml:space="preserve">Самостоятельное выполнение заданий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94" w:name="релази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Релазиация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 (рис. 1).</w:t>
      </w:r>
    </w:p>
    <w:bookmarkStart w:id="26" w:name="fig:001"/>
    <w:p>
      <w:pPr>
        <w:pStyle w:val="CaptionedFigure"/>
      </w:pPr>
      <w:r>
        <w:drawing>
          <wp:inline>
            <wp:extent cx="3733800" cy="423333"/>
            <wp:effectExtent b="0" l="0" r="0" t="0"/>
            <wp:docPr descr="Рис. 1: Создание рабоч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рабочего каталога</w:t>
      </w:r>
    </w:p>
    <w:bookmarkEnd w:id="26"/>
    <w:p>
      <w:pPr>
        <w:pStyle w:val="BodyText"/>
      </w:pPr>
      <w:r>
        <w:t xml:space="preserve">Копирую в файл код из листинга, компилирую и запускаю его, данная программа выполняет вычисление функции (рис. 2).</w:t>
      </w:r>
    </w:p>
    <w:bookmarkStart w:id="30" w:name="fig:002"/>
    <w:p>
      <w:pPr>
        <w:pStyle w:val="CaptionedFigure"/>
      </w:pPr>
      <w:r>
        <w:drawing>
          <wp:inline>
            <wp:extent cx="3733800" cy="366924"/>
            <wp:effectExtent b="0" l="0" r="0" t="0"/>
            <wp:docPr descr="Рис. 2: Запуск программы из листинг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из листинга</w:t>
      </w:r>
    </w:p>
    <w:bookmarkEnd w:id="30"/>
    <w:p>
      <w:pPr>
        <w:pStyle w:val="BodyText"/>
      </w:pPr>
      <w:r>
        <w:t xml:space="preserve">Изменяю текст программы, добавив в нее подпрограмму, теперь она вычисляет значение функции для выражения f(g(x)) (рис. 3).</w:t>
      </w:r>
    </w:p>
    <w:bookmarkStart w:id="34" w:name="fig:003"/>
    <w:p>
      <w:pPr>
        <w:pStyle w:val="CaptionedFigure"/>
      </w:pPr>
      <w:r>
        <w:drawing>
          <wp:inline>
            <wp:extent cx="3733800" cy="366924"/>
            <wp:effectExtent b="0" l="0" r="0" t="0"/>
            <wp:docPr descr="Рис. 3: Изменение программы первого листин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программы первого листинга</w:t>
      </w:r>
    </w:p>
    <w:bookmarkEnd w:id="34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bookmarkStart w:id="55" w:name="отладка-программ-с-помощью-gdb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 (рис. 4).</w:t>
      </w:r>
    </w:p>
    <w:bookmarkStart w:id="38" w:name="fig:004"/>
    <w:p>
      <w:pPr>
        <w:pStyle w:val="CaptionedFigure"/>
      </w:pPr>
      <w:r>
        <w:drawing>
          <wp:inline>
            <wp:extent cx="3733800" cy="1738443"/>
            <wp:effectExtent b="0" l="0" r="0" t="0"/>
            <wp:docPr descr="Рис. 4: Запуск программы в отладчике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в отладчике</w:t>
      </w:r>
    </w:p>
    <w:bookmarkEnd w:id="38"/>
    <w:p>
      <w:pPr>
        <w:pStyle w:val="BodyText"/>
      </w:pPr>
      <w:r>
        <w:t xml:space="preserve">Запустив программу командой run, я убедился в том, что она работает исправно (рис. 5).</w:t>
      </w:r>
    </w:p>
    <w:bookmarkStart w:id="42" w:name="fig:005"/>
    <w:p>
      <w:pPr>
        <w:pStyle w:val="CaptionedFigure"/>
      </w:pPr>
      <w:r>
        <w:drawing>
          <wp:inline>
            <wp:extent cx="3733800" cy="2442210"/>
            <wp:effectExtent b="0" l="0" r="0" t="0"/>
            <wp:docPr descr="Рис. 5: Проверка программы отладчиком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программы отладчиком</w:t>
      </w:r>
    </w:p>
    <w:bookmarkEnd w:id="42"/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 (рис. 6).</w:t>
      </w:r>
    </w:p>
    <w:bookmarkStart w:id="46" w:name="fig:006"/>
    <w:p>
      <w:pPr>
        <w:pStyle w:val="CaptionedFigure"/>
      </w:pPr>
      <w:r>
        <w:drawing>
          <wp:inline>
            <wp:extent cx="3733800" cy="1044419"/>
            <wp:effectExtent b="0" l="0" r="0" t="0"/>
            <wp:docPr descr="Рис. 6: Запуск отладичка с брейкпоинтом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4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отладичка с брейкпоинтом</w:t>
      </w:r>
    </w:p>
    <w:bookmarkEnd w:id="46"/>
    <w:p>
      <w:pPr>
        <w:pStyle w:val="BodyText"/>
      </w:pPr>
      <w:r>
        <w:t xml:space="preserve">Далее смотрю дисассимилированный код программы, перевожу на команд с синтаксисом Intel</w:t>
      </w:r>
      <w:r>
        <w:t xml:space="preserve"> </w:t>
      </w:r>
      <w:r>
        <w:rPr>
          <w:i/>
          <w:iCs/>
        </w:rPr>
        <w:t xml:space="preserve">амд топчик</w:t>
      </w:r>
      <w:r>
        <w:t xml:space="preserve"> </w:t>
      </w:r>
      <w:r>
        <w:t xml:space="preserve">(рис. 7).</w:t>
      </w:r>
    </w:p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bookmarkStart w:id="50" w:name="fig:007"/>
    <w:p>
      <w:pPr>
        <w:pStyle w:val="CaptionedFigure"/>
      </w:pPr>
      <w:r>
        <w:drawing>
          <wp:inline>
            <wp:extent cx="3733800" cy="5490435"/>
            <wp:effectExtent b="0" l="0" r="0" t="0"/>
            <wp:docPr descr="Рис. 7: Дисассимилирование программы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Дисассимилирование программы</w:t>
      </w:r>
    </w:p>
    <w:bookmarkEnd w:id="50"/>
    <w:p>
      <w:pPr>
        <w:pStyle w:val="BodyText"/>
      </w:pPr>
      <w:r>
        <w:t xml:space="preserve">Включаю режим псевдографики для более удобного анализа программы (рис. 8).</w:t>
      </w:r>
    </w:p>
    <w:bookmarkStart w:id="54" w:name="fig:008"/>
    <w:p>
      <w:pPr>
        <w:pStyle w:val="CaptionedFigure"/>
      </w:pPr>
      <w:r>
        <w:drawing>
          <wp:inline>
            <wp:extent cx="3733800" cy="2218768"/>
            <wp:effectExtent b="0" l="0" r="0" t="0"/>
            <wp:docPr descr="Рис. 8: Режим псевдографики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Режим псевдографики</w:t>
      </w:r>
    </w:p>
    <w:bookmarkEnd w:id="54"/>
    <w:bookmarkEnd w:id="55"/>
    <w:bookmarkStart w:id="63" w:name="добавление-точек-останова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 (рис. 9).</w:t>
      </w:r>
    </w:p>
    <w:bookmarkStart w:id="59" w:name="fig:009"/>
    <w:p>
      <w:pPr>
        <w:pStyle w:val="CaptionedFigure"/>
      </w:pPr>
      <w:r>
        <w:drawing>
          <wp:inline>
            <wp:extent cx="3733800" cy="2218768"/>
            <wp:effectExtent b="0" l="0" r="0" t="0"/>
            <wp:docPr descr="Рис. 9: Список брейкпоинтов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Список брейкпоинтов</w:t>
      </w:r>
    </w:p>
    <w:bookmarkEnd w:id="59"/>
    <w:p>
      <w:pPr>
        <w:pStyle w:val="BodyText"/>
      </w:pPr>
      <w:r>
        <w:t xml:space="preserve">Устаналиваю еще одну точку останова по адресу инструкции (рис. 10).</w:t>
      </w:r>
    </w:p>
    <w:bookmarkStart w:id="62" w:name="fig:010"/>
    <w:p>
      <w:pPr>
        <w:pStyle w:val="CaptionedFigure"/>
      </w:pPr>
      <w:r>
        <w:drawing>
          <wp:inline>
            <wp:extent cx="3733800" cy="2218768"/>
            <wp:effectExtent b="0" l="0" r="0" t="0"/>
            <wp:docPr descr="Рис. 10: Добавление второй точки останов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второй точки останова</w:t>
      </w:r>
    </w:p>
    <w:bookmarkEnd w:id="62"/>
    <w:bookmarkEnd w:id="63"/>
    <w:bookmarkStart w:id="84" w:name="работа-с-данными-программы-в-gdb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 (рис. 11).</w:t>
      </w:r>
    </w:p>
    <w:bookmarkStart w:id="67" w:name="fig:011"/>
    <w:p>
      <w:pPr>
        <w:pStyle w:val="CaptionedFigure"/>
      </w:pPr>
      <w:r>
        <w:drawing>
          <wp:inline>
            <wp:extent cx="3733800" cy="2218768"/>
            <wp:effectExtent b="0" l="0" r="0" t="0"/>
            <wp:docPr descr="Рис. 11: Просмотр содержимого регистров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содержимого регистров</w:t>
      </w:r>
    </w:p>
    <w:bookmarkEnd w:id="67"/>
    <w:p>
      <w:pPr>
        <w:pStyle w:val="BodyText"/>
      </w:pPr>
      <w:r>
        <w:t xml:space="preserve">Смотрю содержимое переменных по имени и по адресу (рис. 12).</w:t>
      </w:r>
    </w:p>
    <w:bookmarkStart w:id="71" w:name="fig:012"/>
    <w:p>
      <w:pPr>
        <w:pStyle w:val="CaptionedFigure"/>
      </w:pPr>
      <w:r>
        <w:drawing>
          <wp:inline>
            <wp:extent cx="3733800" cy="2218768"/>
            <wp:effectExtent b="0" l="0" r="0" t="0"/>
            <wp:docPr descr="Рис. 12: Просмотр содержимого переменных двумя способами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содержимого переменных двумя способами</w:t>
      </w:r>
    </w:p>
    <w:bookmarkEnd w:id="71"/>
    <w:p>
      <w:pPr>
        <w:pStyle w:val="BodyText"/>
      </w:pPr>
      <w:r>
        <w:t xml:space="preserve">Меняю содержимое переменных по имени и по адресу (рис. 13).</w:t>
      </w:r>
    </w:p>
    <w:bookmarkStart w:id="75" w:name="fig:013"/>
    <w:p>
      <w:pPr>
        <w:pStyle w:val="CaptionedFigure"/>
      </w:pPr>
      <w:r>
        <w:drawing>
          <wp:inline>
            <wp:extent cx="3733800" cy="2218768"/>
            <wp:effectExtent b="0" l="0" r="0" t="0"/>
            <wp:docPr descr="Рис. 13: Изменение содержимого переменных двумя способами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содержимого переменных двумя способами</w:t>
      </w:r>
    </w:p>
    <w:bookmarkEnd w:id="75"/>
    <w:p>
      <w:pPr>
        <w:pStyle w:val="BodyText"/>
      </w:pPr>
      <w:r>
        <w:t xml:space="preserve">Вывожу в различных форматах значение регистра edx (рис. 14).</w:t>
      </w:r>
    </w:p>
    <w:bookmarkStart w:id="79" w:name="fig:014"/>
    <w:p>
      <w:pPr>
        <w:pStyle w:val="CaptionedFigure"/>
      </w:pPr>
      <w:r>
        <w:drawing>
          <wp:inline>
            <wp:extent cx="3733800" cy="2218768"/>
            <wp:effectExtent b="0" l="0" r="0" t="0"/>
            <wp:docPr descr="Рис. 14: Просмотр значения регистра разными представлениями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значения регистра разными представлениями</w:t>
      </w:r>
    </w:p>
    <w:bookmarkEnd w:id="79"/>
    <w:p>
      <w:pPr>
        <w:pStyle w:val="BodyText"/>
      </w:pPr>
      <w:r>
        <w:t xml:space="preserve">С помощью команды set меняю содержимое регистра ebx (рис. 15).</w:t>
      </w:r>
    </w:p>
    <w:bookmarkStart w:id="83" w:name="fig:015"/>
    <w:p>
      <w:pPr>
        <w:pStyle w:val="CaptionedFigure"/>
      </w:pPr>
      <w:r>
        <w:drawing>
          <wp:inline>
            <wp:extent cx="3733800" cy="2218768"/>
            <wp:effectExtent b="0" l="0" r="0" t="0"/>
            <wp:docPr descr="Рис. 15: Примеры использования команды set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Примеры использования команды set</w:t>
      </w:r>
    </w:p>
    <w:bookmarkEnd w:id="83"/>
    <w:bookmarkEnd w:id="84"/>
    <w:bookmarkStart w:id="93" w:name="X34484a9d02dddcc072527afae661c9b27116987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и создаю исполняемый файл с файлом листинга и отладки (рис. 16).</w:t>
      </w:r>
    </w:p>
    <w:bookmarkStart w:id="88" w:name="fig:016"/>
    <w:p>
      <w:pPr>
        <w:pStyle w:val="CaptionedFigure"/>
      </w:pPr>
      <w:r>
        <w:drawing>
          <wp:inline>
            <wp:extent cx="3733800" cy="614071"/>
            <wp:effectExtent b="0" l="0" r="0" t="0"/>
            <wp:docPr descr="Рис. 16: Подготовка новой программы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Подготовка новой программы</w:t>
      </w:r>
    </w:p>
    <w:bookmarkEnd w:id="88"/>
    <w:p>
      <w:pPr>
        <w:pStyle w:val="BodyText"/>
      </w:pPr>
      <w:r>
        <w:t xml:space="preserve">Запускаю программу с режиме отладки с указанием аргументов, указываю брейкпопнт и запускаю отладку. Проверяю работу стека,</w:t>
      </w:r>
      <w:r>
        <w:t xml:space="preserve"> </w:t>
      </w:r>
      <w:r>
        <w:t xml:space="preserve">изменяя аргумент команды просмотра регистра esp на +4, число обусловлено разрядностью системы, а указатель void занимает как раз 4 байта,</w:t>
      </w:r>
      <w:r>
        <w:t xml:space="preserve"> </w:t>
      </w:r>
      <w:r>
        <w:t xml:space="preserve">ошибка при аргументе +24 означает, что аргументы на вход программы закончились. (рис. 17).</w:t>
      </w:r>
    </w:p>
    <w:bookmarkStart w:id="92" w:name="fig:017"/>
    <w:p>
      <w:pPr>
        <w:pStyle w:val="CaptionedFigure"/>
      </w:pPr>
      <w:r>
        <w:drawing>
          <wp:inline>
            <wp:extent cx="3733800" cy="2203250"/>
            <wp:effectExtent b="0" l="0" r="0" t="0"/>
            <wp:docPr descr="Рис. 17: Проверка работы стека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работы стека</w:t>
      </w:r>
    </w:p>
    <w:bookmarkEnd w:id="92"/>
    <w:bookmarkEnd w:id="93"/>
    <w:bookmarkEnd w:id="94"/>
    <w:bookmarkStart w:id="107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Меняю программу самостоятельной части предыдущей лабораторной работы с использованием подпрограммы (рис. 18).</w:t>
      </w:r>
    </w:p>
    <w:bookmarkStart w:id="98" w:name="fig:018"/>
    <w:p>
      <w:pPr>
        <w:pStyle w:val="CaptionedFigure"/>
      </w:pPr>
      <w:r>
        <w:drawing>
          <wp:inline>
            <wp:extent cx="3733800" cy="2203250"/>
            <wp:effectExtent b="0" l="0" r="0" t="0"/>
            <wp:docPr descr="Рис. 18: Измененная программа предыдущей лабораторной работы" title="" id="96" name="Picture"/>
            <a:graphic>
              <a:graphicData uri="http://schemas.openxmlformats.org/drawingml/2006/picture">
                <pic:pic>
                  <pic:nvPicPr>
                    <pic:cNvPr descr="image/1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Измененная программа предыдущей лабораторной работы</w:t>
      </w:r>
    </w:p>
    <w:bookmarkEnd w:id="98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10x - 4"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_calculate_fx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_calculate_fx: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</w:p>
    <w:p>
      <w:pPr>
        <w:pStyle w:val="Compact"/>
        <w:numPr>
          <w:ilvl w:val="0"/>
          <w:numId w:val="1003"/>
        </w:numPr>
      </w:pPr>
      <w:r>
        <w:t xml:space="preserve">Запускаю программу в режике отладичка и пошагово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</w:t>
      </w:r>
      <w:r>
        <w:t xml:space="preserve"> </w:t>
      </w:r>
      <w:r>
        <w:t xml:space="preserve">Значение регистра ebx не обновляется напрямую, поэтому результат программа неверно подсчитывает функцию (рис. 19).</w:t>
      </w:r>
    </w:p>
    <w:bookmarkStart w:id="102" w:name="fig:019"/>
    <w:p>
      <w:pPr>
        <w:pStyle w:val="CaptionedFigure"/>
      </w:pPr>
      <w:r>
        <w:drawing>
          <wp:inline>
            <wp:extent cx="3733800" cy="2203250"/>
            <wp:effectExtent b="0" l="0" r="0" t="0"/>
            <wp:docPr descr="Рис. 19: Поиск ошибки в программе через пошаговую отладку" title="" id="100" name="Picture"/>
            <a:graphic>
              <a:graphicData uri="http://schemas.openxmlformats.org/drawingml/2006/picture">
                <pic:pic>
                  <pic:nvPicPr>
                    <pic:cNvPr descr="image/1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Поиск ошибки в программе через пошаговую отладку</w:t>
      </w:r>
    </w:p>
    <w:bookmarkEnd w:id="102"/>
    <w:p>
      <w:pPr>
        <w:pStyle w:val="BodyText"/>
      </w:pPr>
      <w:r>
        <w:t xml:space="preserve">Исправляю найденную ошибку, теперь программа верно считает значение функции (рис. 20).</w:t>
      </w:r>
    </w:p>
    <w:bookmarkStart w:id="106" w:name="fig:020"/>
    <w:p>
      <w:pPr>
        <w:pStyle w:val="CaptionedFigure"/>
      </w:pPr>
      <w:r>
        <w:drawing>
          <wp:inline>
            <wp:extent cx="3733800" cy="387970"/>
            <wp:effectExtent b="0" l="0" r="0" t="0"/>
            <wp:docPr descr="Рис. 20: Проверка корректировок в программме" title="" id="104" name="Picture"/>
            <a:graphic>
              <a:graphicData uri="http://schemas.openxmlformats.org/drawingml/2006/picture">
                <pic:pic>
                  <pic:nvPicPr>
                    <pic:cNvPr descr="image/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корректировок в программме</w:t>
      </w:r>
    </w:p>
    <w:bookmarkEnd w:id="106"/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07"/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</w:t>
      </w:r>
      <w:r>
        <w:t xml:space="preserve"> </w:t>
      </w:r>
      <w:r>
        <w:t xml:space="preserve">при поомщи GDB и его основными возможностями.</w:t>
      </w:r>
    </w:p>
    <w:bookmarkEnd w:id="109"/>
    <w:bookmarkStart w:id="113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4"/>
        </w:numPr>
      </w:pPr>
      <w:hyperlink r:id="rId110">
        <w:r>
          <w:rPr>
            <w:rStyle w:val="Hyperlink"/>
          </w:rPr>
          <w:t xml:space="preserve">Курс на ТУИС</w:t>
        </w:r>
      </w:hyperlink>
    </w:p>
    <w:p>
      <w:pPr>
        <w:pStyle w:val="Compact"/>
        <w:numPr>
          <w:ilvl w:val="0"/>
          <w:numId w:val="1004"/>
        </w:numPr>
      </w:pPr>
      <w:hyperlink r:id="rId111">
        <w:r>
          <w:rPr>
            <w:rStyle w:val="Hyperlink"/>
          </w:rPr>
          <w:t xml:space="preserve">Лабораторная работа №9</w:t>
        </w:r>
      </w:hyperlink>
    </w:p>
    <w:p>
      <w:pPr>
        <w:pStyle w:val="Compact"/>
        <w:numPr>
          <w:ilvl w:val="0"/>
          <w:numId w:val="1004"/>
        </w:numPr>
      </w:pPr>
      <w:hyperlink r:id="rId112">
        <w:r>
          <w:rPr>
            <w:rStyle w:val="Hyperlink"/>
          </w:rPr>
          <w:t xml:space="preserve">Программирование на языке ассемблера NASM Столяров А. В.</w:t>
        </w:r>
      </w:hyperlink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6" Target="media/rId56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27" Target="media/rId27.png" /><Relationship Type="http://schemas.openxmlformats.org/officeDocument/2006/relationships/image" Id="rId103" Target="media/rId10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hyperlink" Id="rId110" Target="https://esystem.rudn.ru/course/view.php?id=112" TargetMode="External" /><Relationship Type="http://schemas.openxmlformats.org/officeDocument/2006/relationships/hyperlink" Id="rId112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111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0" Target="https://esystem.rudn.ru/course/view.php?id=112" TargetMode="External" /><Relationship Type="http://schemas.openxmlformats.org/officeDocument/2006/relationships/hyperlink" Id="rId112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111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Аннагулыев Арслан</dc:creator>
  <dc:language>ru-RU</dc:language>
  <cp:keywords/>
  <dcterms:created xsi:type="dcterms:W3CDTF">2024-12-06T02:41:22Z</dcterms:created>
  <dcterms:modified xsi:type="dcterms:W3CDTF">2024-12-06T02:41:22Z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