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Canada Distributor 直送販売</w:t>
        <w:br/>
        <w:t>ロードマップ及び移転価格（TP）戦略</w:t>
      </w:r>
    </w:p>
    <w:p>
      <w:pPr>
        <w:spacing w:after="40" w:before="0" w:line="324" w:lineRule="auto"/>
        <w:jc w:val="center"/>
      </w:pPr>
      <w:r>
        <w:rPr>
          <w:rFonts w:ascii="Yu Gothic" w:hAnsi="Yu Gothic" w:eastAsia="Yu Gothic"/>
          <w:b w:val="0"/>
          <w:sz w:val="20"/>
        </w:rPr>
        <w:t>作成日: 2026-10-07</w:t>
      </w:r>
    </w:p>
    <w:p>
      <w:pPr>
        <w:spacing w:after="40" w:before="0" w:line="324" w:lineRule="auto"/>
        <w:jc w:val="center"/>
      </w:pPr>
      <w:r>
        <w:rPr>
          <w:rFonts w:ascii="Yu Gothic" w:hAnsi="Yu Gothic" w:eastAsia="Yu Gothic"/>
          <w:b w:val="0"/>
          <w:sz w:val="20"/>
        </w:rPr>
        <w:t>対象: LECIEN Japan（LCJ）× TANAAKK INC × Canadian Distributor</w:t>
      </w:r>
    </w:p>
    <w:p>
      <w:pPr>
        <w:spacing w:after="40" w:before="0" w:line="324" w:lineRule="auto"/>
        <w:jc w:val="center"/>
      </w:pPr>
      <w:r>
        <w:rPr>
          <w:rFonts w:ascii="Yu Gothic" w:hAnsi="Yu Gothic" w:eastAsia="Yu Gothic"/>
          <w:b w:val="0"/>
          <w:sz w:val="20"/>
        </w:rPr>
        <w:t>位置づけ: 社内方針メモ（法務・税務・通関の確定助言ではない）</w:t>
      </w:r>
    </w:p>
    <w:p>
      <w:pPr>
        <w:spacing w:after="40" w:before="0" w:line="324" w:lineRule="auto"/>
        <w:jc w:val="center"/>
      </w:pPr>
      <w:r>
        <w:rPr>
          <w:rFonts w:ascii="Yu Gothic" w:hAnsi="Yu Gothic" w:eastAsia="Yu Gothic"/>
          <w:b w:val="0"/>
          <w:sz w:val="20"/>
        </w:rPr>
        <w:t>前提: 米経由による関税二重負担を避け、日本→カナダ直送でB2B卸販売を行う</w:t>
      </w:r>
    </w:p>
    <w:p>
      <w:pPr>
        <w:spacing w:after="160" w:before="240" w:line="324" w:lineRule="auto"/>
      </w:pPr>
      <w:r>
        <w:rPr>
          <w:rFonts w:ascii="Yu Gothic" w:hAnsi="Yu Gothic" w:eastAsia="Yu Gothic"/>
          <w:b w:val="0"/>
          <w:sz w:val="20"/>
        </w:rPr>
        <w:t>本資料は、Canada distributorからの打診を受けた直送スキームについて、商業構造・契約・オペ・通関・GST/PE・移転価格を一連のロードマップとして整理したものである。米署名済み Master（Consignment + U.S. Principal）及び Amendment No.2 をそのままCanadaへ流用しないことを前提とする。</w:t>
      </w:r>
    </w:p>
    <w:p>
      <w:pPr>
        <w:pStyle w:val="Heading1"/>
      </w:pPr>
      <w:r>
        <w:rPr>
          <w:rFonts w:ascii="Yu Gothic" w:hAnsi="Yu Gothic" w:eastAsia="Yu Gothic"/>
          <w:b/>
          <w:sz w:val="32"/>
        </w:rPr>
        <w:t>1. エグゼクティブサマリー</w:t>
      </w:r>
    </w:p>
    <w:p>
      <w:pPr>
        <w:pStyle w:val="Heading2"/>
      </w:pPr>
      <w:r>
        <w:rPr>
          <w:rFonts w:ascii="Yu Gothic" w:hAnsi="Yu Gothic" w:eastAsia="Yu Gothic"/>
          <w:b/>
          <w:sz w:val="26"/>
        </w:rPr>
        <w:t>1.1 推奨構造（第一候補）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SOR / 契約売主: TANAAKK INC（Canadian Distributorとの契約主体）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IOR / 通関・輸入GST・関税: Canadian Distributor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Brand / 日本在庫 owner / Japan fulfillment: LECIEN Japan（LCJ）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物流: 日本 → カナダ直送（米を経由しない）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上流: Consignment（米Path Bの自動流用は禁止。Canada Scheduleで法的性質を再定義）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LCJはCanadian顧客との販売条件交渉・契約締結を行わない</w:t>
      </w:r>
    </w:p>
    <w:p>
      <w:pPr>
        <w:pStyle w:val="Heading2"/>
      </w:pPr>
      <w:r>
        <w:rPr>
          <w:rFonts w:ascii="Yu Gothic" w:hAnsi="Yu Gothic" w:eastAsia="Yu Gothic"/>
          <w:b/>
          <w:sz w:val="26"/>
        </w:rPr>
        <w:t>1.2 移転価格の現時点の結論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米刺しゅう15%、Gross 10%固定の機械流用は不採用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外部commissionデータだけでは率を確定できない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pure manufacturers’ repの参考帯は概ね Net Sales の 5–9%（平均付近7%、データは古く品目混在）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TANAAKKはSOR・pricing・invoice・collection・与信等でpure repより重いため、7%超も理論上あり得る（定性）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10%は「結論」ではなく「ROS仮説を満たす場合の候補（テスト仮説）」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最終決定は TNMM（CanadaセグメントのEBIT/Sales ≈ 2–3.5%を目安）で行う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実務の感度候補: 5% / 7.5% / 10% / 12.5%（採用はOPEX実績とROSレンジで決める）</w:t>
      </w:r>
    </w:p>
    <w:p>
      <w:pPr>
        <w:pStyle w:val="Heading2"/>
      </w:pPr>
      <w:r>
        <w:rPr>
          <w:rFonts w:ascii="Yu Gothic" w:hAnsi="Yu Gothic" w:eastAsia="Yu Gothic"/>
          <w:b/>
          <w:sz w:val="26"/>
        </w:rPr>
        <w:t>1.3 Go条件（要約）</w:t>
      </w:r>
    </w:p>
    <w:p>
      <w:pPr>
        <w:pStyle w:val="ListNumber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Canada専用 Schedule / Amendment の起草・署名</w:t>
      </w:r>
    </w:p>
    <w:p>
      <w:pPr>
        <w:pStyle w:val="ListNumber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Canadian customs broker による三者構造（Vendor=TANAAKK / Shipper=LCJ / IOR=Distributor）の書面確認</w:t>
      </w:r>
    </w:p>
    <w:p>
      <w:pPr>
        <w:pStyle w:val="ListNumber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Incoterms・title移転・未収・不良・精算のCanada固有定義</w:t>
      </w:r>
    </w:p>
    <w:p>
      <w:pPr>
        <w:pStyle w:val="ListNumber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Canada関連OPEX配賦ルール確定と retention×ROS 感度</w:t>
      </w:r>
    </w:p>
    <w:p>
      <w:pPr>
        <w:pStyle w:val="ListNumber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加国GST/HST carrying on business 及びPEの税理士確認（規模シナリオ付き）</w:t>
      </w:r>
    </w:p>
    <w:p>
      <w:pPr>
        <w:pStyle w:val="Heading1"/>
      </w:pPr>
      <w:r>
        <w:rPr>
          <w:rFonts w:ascii="Yu Gothic" w:hAnsi="Yu Gothic" w:eastAsia="Yu Gothic"/>
          <w:b/>
          <w:sz w:val="32"/>
        </w:rPr>
        <w:t>2. 背景と目的</w:t>
      </w:r>
    </w:p>
    <w:p>
      <w:pPr>
        <w:spacing w:after="160" w:before="0" w:line="324" w:lineRule="auto"/>
      </w:pPr>
      <w:r>
        <w:rPr>
          <w:rFonts w:ascii="Yu Gothic" w:hAnsi="Yu Gothic" w:eastAsia="Yu Gothic"/>
          <w:b w:val="0"/>
          <w:sz w:val="22"/>
        </w:rPr>
        <w:t>Canadian DistributorからTANAAKK INCへ打診があった。米国在庫・米輸入を介すると米側関税等の後にカナダ再輸入コストが重なり、二重負担となる。このため日本からの直送を希望している。目的は、(1) 関税の二重負担回避、(2) North America商業の一貫性（顧客接点はTANAAKK）、(3) LCJのCanada PE/GST負荷の抑制、(4) アームズレングスなグループ間対価の設計、である。</w:t>
      </w:r>
    </w:p>
    <w:p>
      <w:pPr>
        <w:pStyle w:val="Heading2"/>
      </w:pPr>
      <w:r>
        <w:rPr>
          <w:rFonts w:ascii="Yu Gothic" w:hAnsi="Yu Gothic" w:eastAsia="Yu Gothic"/>
          <w:b/>
          <w:sz w:val="26"/>
        </w:rPr>
        <w:t>2.1 米モデルとの関係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1872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3312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米国（署名済みMaster）</w:t>
            </w:r>
          </w:p>
        </w:tc>
        <w:tc>
          <w:tcPr>
            <w:tcW w:type="dxa" w:w="3744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Canada（推奨）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契約シェル</w:t>
            </w:r>
          </w:p>
        </w:tc>
        <w:tc>
          <w:tcPr>
            <w:tcW w:type="dxa" w:w="331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Consignment + U.S. Principal</w:t>
            </w:r>
          </w:p>
        </w:tc>
        <w:tc>
          <w:tcPr>
            <w:tcW w:type="dxa" w:w="3744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Canada専用Scheduleで再定義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SOR</w:t>
            </w:r>
          </w:p>
        </w:tc>
        <w:tc>
          <w:tcPr>
            <w:tcW w:type="dxa" w:w="331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TANAAKK</w:t>
            </w:r>
          </w:p>
        </w:tc>
        <w:tc>
          <w:tcPr>
            <w:tcW w:type="dxa" w:w="3744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TANAAKK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IOR</w:t>
            </w:r>
          </w:p>
        </w:tc>
        <w:tc>
          <w:tcPr>
            <w:tcW w:type="dxa" w:w="331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TANAAKK</w:t>
            </w:r>
          </w:p>
        </w:tc>
        <w:tc>
          <w:tcPr>
            <w:tcW w:type="dxa" w:w="3744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Canadian Distributor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在庫（販売前）</w:t>
            </w:r>
          </w:p>
        </w:tc>
        <w:tc>
          <w:tcPr>
            <w:tcW w:type="dxa" w:w="331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LCJ（3PL等）</w:t>
            </w:r>
          </w:p>
        </w:tc>
        <w:tc>
          <w:tcPr>
            <w:tcW w:type="dxa" w:w="3744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LCJ（日本）。CA常駐在庫なし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直送改正</w:t>
            </w:r>
          </w:p>
        </w:tc>
        <w:tc>
          <w:tcPr>
            <w:tcW w:type="dxa" w:w="331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Amendment No.2（Japan→U.S.）</w:t>
            </w:r>
          </w:p>
        </w:tc>
        <w:tc>
          <w:tcPr>
            <w:tcW w:type="dxa" w:w="3744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流用禁止。Canada条項を新設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報酬</w:t>
            </w:r>
          </w:p>
        </w:tc>
        <w:tc>
          <w:tcPr>
            <w:tcW w:type="dxa" w:w="331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刺しゅう Net 15/85 等</w:t>
            </w:r>
          </w:p>
        </w:tc>
        <w:tc>
          <w:tcPr>
            <w:tcW w:type="dxa" w:w="3744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Canada FARに基づく別率（15%流用禁止）</w:t>
            </w:r>
          </w:p>
        </w:tc>
      </w:tr>
    </w:tbl>
    <w:p/>
    <w:p>
      <w:pPr>
        <w:spacing w:after="160" w:before="0" w:line="324" w:lineRule="auto"/>
      </w:pPr>
      <w:r>
        <w:rPr>
          <w:rFonts w:ascii="Yu Gothic" w:hAnsi="Yu Gothic" w:eastAsia="Yu Gothic"/>
          <w:b w:val="0"/>
          <w:sz w:val="20"/>
        </w:rPr>
        <w:t>批判的注記: 「SORであること」と「LCJ→TANAAKKが通常のintercompany buy-sellであること」は同義ではない。米契約は意図的に分離している。Canadaでも真正な顧客向けcommercial saleがあれば、上流を直ちにbuy-sell必須とはしない。ただし米Path Bを沈黙のまま輸入せず、Canadaでtitle/精算を定義する。</w:t>
      </w:r>
    </w:p>
    <w:p>
      <w:pPr>
        <w:pStyle w:val="Heading1"/>
      </w:pPr>
      <w:r>
        <w:rPr>
          <w:rFonts w:ascii="Yu Gothic" w:hAnsi="Yu Gothic" w:eastAsia="Yu Gothic"/>
          <w:b/>
          <w:sz w:val="32"/>
        </w:rPr>
        <w:t>3. 推奨商業・物流構造</w:t>
      </w:r>
    </w:p>
    <w:p>
      <w:pPr>
        <w:pStyle w:val="Heading2"/>
      </w:pPr>
      <w:r>
        <w:rPr>
          <w:rFonts w:ascii="Yu Gothic" w:hAnsi="Yu Gothic" w:eastAsia="Yu Gothic"/>
          <w:b/>
          <w:sz w:val="26"/>
        </w:rPr>
        <w:t>3.1 フロー</w:t>
      </w:r>
    </w:p>
    <w:p>
      <w:pPr>
        <w:spacing w:after="80" w:before="0" w:line="324" w:lineRule="auto"/>
      </w:pPr>
      <w:r>
        <w:rPr>
          <w:rFonts w:ascii="Yu Gothic" w:hAnsi="Yu Gothic" w:eastAsia="Yu Gothic"/>
          <w:b/>
          <w:sz w:val="22"/>
        </w:rPr>
        <w:t>Commercial Flow</w:t>
      </w:r>
    </w:p>
    <w:p>
      <w:pPr>
        <w:spacing w:after="160" w:before="0" w:line="324" w:lineRule="auto"/>
      </w:pPr>
      <w:r>
        <w:rPr>
          <w:rFonts w:ascii="Yu Gothic" w:hAnsi="Yu Gothic" w:eastAsia="Yu Gothic"/>
          <w:b w:val="0"/>
          <w:sz w:val="20"/>
        </w:rPr>
        <w:t>LECIEN（Consignment / inventory owner）→ TANAAKK INC（Sale for export to Canada / SOR）→ Canadian Distributor（Buyer）</w:t>
      </w:r>
    </w:p>
    <w:p>
      <w:pPr>
        <w:spacing w:after="80" w:before="0" w:line="324" w:lineRule="auto"/>
      </w:pPr>
      <w:r>
        <w:rPr>
          <w:rFonts w:ascii="Yu Gothic" w:hAnsi="Yu Gothic" w:eastAsia="Yu Gothic"/>
          <w:b/>
          <w:sz w:val="22"/>
        </w:rPr>
        <w:t>Physical Flow</w:t>
      </w:r>
    </w:p>
    <w:p>
      <w:pPr>
        <w:spacing w:after="160" w:before="0" w:line="324" w:lineRule="auto"/>
      </w:pPr>
      <w:r>
        <w:rPr>
          <w:rFonts w:ascii="Yu Gothic" w:hAnsi="Yu Gothic" w:eastAsia="Yu Gothic"/>
          <w:b w:val="0"/>
          <w:sz w:val="20"/>
        </w:rPr>
        <w:t>LECIEN Japan ────（直送）────→ Canadian Distributor</w:t>
      </w:r>
    </w:p>
    <w:p>
      <w:pPr>
        <w:pStyle w:val="Heading2"/>
      </w:pPr>
      <w:r>
        <w:rPr>
          <w:rFonts w:ascii="Yu Gothic" w:hAnsi="Yu Gothic" w:eastAsia="Yu Gothic"/>
          <w:b/>
          <w:sz w:val="26"/>
        </w:rPr>
        <w:t>3.2 役割（FAR要約）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主体</w:t>
            </w:r>
          </w:p>
        </w:tc>
        <w:tc>
          <w:tcPr>
            <w:tcW w:type="dxa" w:w="316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機能・資産</w:t>
            </w:r>
          </w:p>
        </w:tc>
        <w:tc>
          <w:tcPr>
            <w:tcW w:type="dxa" w:w="2592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主なリスク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持たないもの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LECIEN Japan</w:t>
            </w:r>
          </w:p>
        </w:tc>
        <w:tc>
          <w:tcPr>
            <w:tcW w:type="dxa" w:w="316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Brand/IP、設計・調達・製造、日本在庫、Japan fulfillment（TANAAKK指図）</w:t>
            </w:r>
          </w:p>
        </w:tc>
        <w:tc>
          <w:tcPr>
            <w:tcW w:type="dxa" w:w="259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製造・品質・出荷前在庫、瑕疵（契約上のindemnityに従う）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CA顧客との交渉・契約・回収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TANAAKK INC</w:t>
            </w:r>
          </w:p>
        </w:tc>
        <w:tc>
          <w:tcPr>
            <w:tcW w:type="dxa" w:w="316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Distributor関係、pricing、交渉、受注、与信、請求、回収、出荷指図、市場開発</w:t>
            </w:r>
          </w:p>
        </w:tc>
        <w:tc>
          <w:tcPr>
            <w:tcW w:type="dxa" w:w="259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自社販管・MD費用、Distributor売掛（回収ベース精算と整合）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CA在庫、原則Canadian IOR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Canadian Distributor</w:t>
            </w:r>
          </w:p>
        </w:tc>
        <w:tc>
          <w:tcPr>
            <w:tcW w:type="dxa" w:w="316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購入、IOR、通関、国内流通、下流価格</w:t>
            </w:r>
          </w:p>
        </w:tc>
        <w:tc>
          <w:tcPr>
            <w:tcW w:type="dxa" w:w="259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輸入関税・輸入GST、CA在庫、下流与信・流通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グループ内principal機能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b/>
          <w:sz w:val="26"/>
        </w:rPr>
        <w:t>3.3 呼称上の注意</w:t>
      </w:r>
    </w:p>
    <w:p>
      <w:pPr>
        <w:spacing w:after="160" w:before="0" w:line="324" w:lineRule="auto"/>
      </w:pPr>
      <w:r>
        <w:rPr>
          <w:rFonts w:ascii="Yu Gothic" w:hAnsi="Yu Gothic" w:eastAsia="Yu Gothic"/>
          <w:b w:val="0"/>
          <w:sz w:val="22"/>
        </w:rPr>
        <w:t>対外契約では「Seller of Record / contracting seller」で足りる。TP文書で「Canadian Commercial Principal」と書く場合は、pre-sale inventory・製造リスクを負わない limited-risk / flash-title の商業売主であることを併記する。呼称と残余利益（LCJ）・routine報酬（TANAAKK）の不一致を避ける。</w:t>
      </w:r>
    </w:p>
    <w:p>
      <w:pPr>
        <w:pStyle w:val="Heading1"/>
      </w:pPr>
      <w:r>
        <w:rPr>
          <w:rFonts w:ascii="Yu Gothic" w:hAnsi="Yu Gothic" w:eastAsia="Yu Gothic"/>
          <w:b/>
          <w:sz w:val="32"/>
        </w:rPr>
        <w:t>4. 契約・法務ロードマップ</w:t>
      </w:r>
    </w:p>
    <w:p>
      <w:pPr>
        <w:pStyle w:val="Heading2"/>
      </w:pPr>
      <w:r>
        <w:rPr>
          <w:rFonts w:ascii="Yu Gothic" w:hAnsi="Yu Gothic" w:eastAsia="Yu Gothic"/>
          <w:b/>
          <w:sz w:val="26"/>
        </w:rPr>
        <w:t>4.1 Canada Schedule / Amendment に入れる条項</w:t>
      </w:r>
    </w:p>
    <w:p>
      <w:pPr>
        <w:pStyle w:val="ListNumber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Territory: Canada（U.S. Amendment No.2の適用除外を明示）</w:t>
      </w:r>
    </w:p>
    <w:p>
      <w:pPr>
        <w:pStyle w:val="ListNumber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TANAAKK = sole contracting seller / SOR vis-à-vis Canadian customers</w:t>
      </w:r>
    </w:p>
    <w:p>
      <w:pPr>
        <w:pStyle w:val="ListNumber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LCJはCanadian顧客とcommercial termsを交渉・決定・承諾しない</w:t>
      </w:r>
    </w:p>
    <w:p>
      <w:pPr>
        <w:pStyle w:val="ListNumber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LCJはTANAAKKのShipment Instructionに基づきJapanからCanadaへfulfillment</w:t>
      </w:r>
    </w:p>
    <w:p>
      <w:pPr>
        <w:pStyle w:val="ListNumber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IOR = Canadian Distributor。TANAAKKは別途書面がない限りCanadian IORにならない（DDP禁止を原則）</w:t>
      </w:r>
    </w:p>
    <w:p>
      <w:pPr>
        <w:pStyle w:val="ListNumber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Incoterms と title / risk 移転時点（例: FCA Japan 又は Schedule定義のtender時等）</w:t>
      </w:r>
    </w:p>
    <w:p>
      <w:pPr>
        <w:pStyle w:val="ListNumber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上流title移転の法的性質（consignment履行か、Canada用の独自定義か）。米Path Bの自動適用禁止</w:t>
      </w:r>
    </w:p>
    <w:p>
      <w:pPr>
        <w:pStyle w:val="ListNumber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返品・refund決定権（TANAAKK）と経済負担分界（LCJ/TANAAKK）</w:t>
      </w:r>
    </w:p>
    <w:p>
      <w:pPr>
        <w:pStyle w:val="ListNumber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未収・貸倒: TANAAKKが与信リスクを負う場合、LCJ精算は回収ベース又はbad debt控除後</w:t>
      </w:r>
    </w:p>
    <w:p>
      <w:pPr>
        <w:pStyle w:val="ListNumber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Net Sales定義、retention率又はレンジ、OM/ROS調整条項</w:t>
      </w:r>
    </w:p>
    <w:p>
      <w:pPr>
        <w:pStyle w:val="ListNumber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保険、クレーム、リコール、知財表示</w:t>
      </w:r>
    </w:p>
    <w:p>
      <w:pPr>
        <w:pStyle w:val="ListNumber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Customs documentation協力義務（CI・SI・BLのストーリー一致）</w:t>
      </w:r>
    </w:p>
    <w:p>
      <w:pPr>
        <w:pStyle w:val="Heading2"/>
      </w:pPr>
      <w:r>
        <w:rPr>
          <w:rFonts w:ascii="Yu Gothic" w:hAnsi="Yu Gothic" w:eastAsia="Yu Gothic"/>
          <w:b/>
          <w:sz w:val="26"/>
        </w:rPr>
        <w:t>4.2 Distributor契約（TANAAKK ↔ Canadian Distributor）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売買契約の当事者はTANAAKKとDistributorのみ（LCJは当事者にしない）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支払先・請求書発行者 = TANAAKK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IOR・通関・輸入税負担 = Distributor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価格・支払条件・与信限度・季節条件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再販価格はDistributorが決定（ブランドMAPがある場合は別紙政策として整理）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保証・不良の窓口はTANAAKK（バックツーバックでLCJへ）</w:t>
      </w:r>
    </w:p>
    <w:p>
      <w:pPr>
        <w:pStyle w:val="Heading2"/>
      </w:pPr>
      <w:r>
        <w:rPr>
          <w:rFonts w:ascii="Yu Gothic" w:hAnsi="Yu Gothic" w:eastAsia="Yu Gothic"/>
          <w:b/>
          <w:sz w:val="26"/>
        </w:rPr>
        <w:t>4.3 フェーズ（法務）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1152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Phase</w:t>
            </w:r>
          </w:p>
        </w:tc>
        <w:tc>
          <w:tcPr>
            <w:tcW w:type="dxa" w:w="3456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成果物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完了条件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L0</w:t>
            </w:r>
          </w:p>
        </w:tc>
        <w:tc>
          <w:tcPr>
            <w:tcW w:type="dxa" w:w="3456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方針合意（本メモ級）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SOR/IOR/直送/Consignment維持の方針承認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L1</w:t>
            </w:r>
          </w:p>
        </w:tc>
        <w:tc>
          <w:tcPr>
            <w:tcW w:type="dxa" w:w="3456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Canada Schedule草稿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title・精算・IOR・報酬仮説を条文化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L2</w:t>
            </w:r>
          </w:p>
        </w:tc>
        <w:tc>
          <w:tcPr>
            <w:tcW w:type="dxa" w:w="3456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Distributor売買契約草稿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Incoterms・IOR・支払と一致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L3</w:t>
            </w:r>
          </w:p>
        </w:tc>
        <w:tc>
          <w:tcPr>
            <w:tcW w:type="dxa" w:w="3456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LCJ–TANAAKK署名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Schedule発効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L4</w:t>
            </w:r>
          </w:p>
        </w:tc>
        <w:tc>
          <w:tcPr>
            <w:tcW w:type="dxa" w:w="3456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Distributor署名・最初のPO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Go-live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b/>
          <w:sz w:val="32"/>
        </w:rPr>
        <w:t>5. オペ・通関・書類ロードマップ</w:t>
      </w:r>
    </w:p>
    <w:p>
      <w:pPr>
        <w:pStyle w:val="Heading2"/>
      </w:pPr>
      <w:r>
        <w:rPr>
          <w:rFonts w:ascii="Yu Gothic" w:hAnsi="Yu Gothic" w:eastAsia="Yu Gothic"/>
          <w:b/>
          <w:sz w:val="26"/>
        </w:rPr>
        <w:t>5.1 一貫させるべきストーリー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Canadian DistributorのPO → TANAAKK宛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TANAAKKのSales Invoice → Distributor（Vendor/Seller = TANAAKK）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TANAAKK → LCJ のShipment Instruction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LCJのshipping documents（shipper = LCJ でも可）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Canada customs declaration（IOR = Distributor、建値は原則TANAAKK請求額）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Payment: Distributor → TANAAKK、グループ内精算: TANAAKK ⇄ LCJ（Scheduleどおり）</w:t>
      </w:r>
    </w:p>
    <w:p>
      <w:pPr>
        <w:spacing w:after="160" w:before="0" w:line="324" w:lineRule="auto"/>
      </w:pPr>
      <w:r>
        <w:rPr>
          <w:rFonts w:ascii="Yu Gothic" w:hAnsi="Yu Gothic" w:eastAsia="Yu Gothic"/>
          <w:b w:val="0"/>
          <w:sz w:val="20"/>
        </w:rPr>
        <w:t>BL/AWB shipper = LCJ、Commercial seller = TANAAKK、Buyer/IOR = Distributor は三角・drop shipmentとして矛盾ではない。重要なのはsellerとshipperの法人一致ではなく、上記ストーリーの一貫性である。</w:t>
      </w:r>
    </w:p>
    <w:p>
      <w:pPr>
        <w:pStyle w:val="Heading2"/>
      </w:pPr>
      <w:r>
        <w:rPr>
          <w:rFonts w:ascii="Yu Gothic" w:hAnsi="Yu Gothic" w:eastAsia="Yu Gothic"/>
          <w:b/>
          <w:sz w:val="26"/>
        </w:rPr>
        <w:t>5.2 Customs valuation</w:t>
      </w:r>
    </w:p>
    <w:p>
      <w:pPr>
        <w:spacing w:after="160" w:before="0" w:line="324" w:lineRule="auto"/>
      </w:pPr>
      <w:r>
        <w:rPr>
          <w:rFonts w:ascii="Yu Gothic" w:hAnsi="Yu Gothic" w:eastAsia="Yu Gothic"/>
          <w:b w:val="0"/>
          <w:sz w:val="22"/>
        </w:rPr>
        <w:t>カナダの課税価格は、通常、Canada向け輸出販売において購入者（Distributor）が支払う価格である。したがって LCJ→TANAAKK を形式的に $60、$80 の二段buy-sellにしても、単純に $60 をCanada申告額にできるわけではない。customs安全のためのbuy-sell必須化は必然ではない。再構成リスク（真の売主はLCJでは？）への防御は、商業分離と書類一貫、broker指示である。</w:t>
      </w:r>
    </w:p>
    <w:p>
      <w:pPr>
        <w:pStyle w:val="Heading2"/>
      </w:pPr>
      <w:r>
        <w:rPr>
          <w:rFonts w:ascii="Yu Gothic" w:hAnsi="Yu Gothic" w:eastAsia="Yu Gothic"/>
          <w:b/>
          <w:sz w:val="26"/>
        </w:rPr>
        <w:t>5.3 Broker事前確認（必須）</w:t>
      </w:r>
    </w:p>
    <w:p>
      <w:pPr>
        <w:spacing w:after="120" w:before="0" w:line="324" w:lineRule="auto"/>
      </w:pPr>
      <w:r>
        <w:rPr>
          <w:rFonts w:ascii="Yu Gothic" w:hAnsi="Yu Gothic" w:eastAsia="Yu Gothic"/>
          <w:b w:val="0"/>
          <w:sz w:val="22"/>
        </w:rPr>
        <w:t>以下をCanadian customs brokerへ提示し、書面回答を取得する。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Vendor/Seller: TANAAKK INC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Shipper: LECIEN（Japan）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Importer of Record: Canadian Distributor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Physical shipment: Japan → Canada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Commercial Invoiceの記載項目、related-party開示の要否、valuation method</w:t>
      </w:r>
    </w:p>
    <w:p>
      <w:pPr>
        <w:pStyle w:val="Heading2"/>
      </w:pPr>
      <w:r>
        <w:rPr>
          <w:rFonts w:ascii="Yu Gothic" w:hAnsi="Yu Gothic" w:eastAsia="Yu Gothic"/>
          <w:b/>
          <w:sz w:val="26"/>
        </w:rPr>
        <w:t>5.4 オペフェーズ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1152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Phase</w:t>
            </w:r>
          </w:p>
        </w:tc>
        <w:tc>
          <w:tcPr>
            <w:tcW w:type="dxa" w:w="7776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O1</w:t>
            </w:r>
          </w:p>
        </w:tc>
        <w:tc>
          <w:tcPr>
            <w:tcW w:type="dxa" w:w="7776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Incoterms・梱包・HS・原産地・ラベルの商品別チェックリスト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O2</w:t>
            </w:r>
          </w:p>
        </w:tc>
        <w:tc>
          <w:tcPr>
            <w:tcW w:type="dxa" w:w="7776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Shipment Instructionテンプレート（TANAAKK→LCJ）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O3</w:t>
            </w:r>
          </w:p>
        </w:tc>
        <w:tc>
          <w:tcPr>
            <w:tcW w:type="dxa" w:w="7776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CI/PL/BLの見本セットをbrokerレビュー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O4</w:t>
            </w:r>
          </w:p>
        </w:tc>
        <w:tc>
          <w:tcPr>
            <w:tcW w:type="dxa" w:w="7776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パイロット出荷1件（少額）で端から端まで検証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O5</w:t>
            </w:r>
          </w:p>
        </w:tc>
        <w:tc>
          <w:tcPr>
            <w:tcW w:type="dxa" w:w="7776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定常SOP（PO→承認→指図→出荷→通関→入金→月次精算）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b/>
          <w:sz w:val="32"/>
        </w:rPr>
        <w:t>6. カナダ間接税・PE・日本側の留意</w:t>
      </w:r>
    </w:p>
    <w:p>
      <w:pPr>
        <w:pStyle w:val="Heading2"/>
      </w:pPr>
      <w:r>
        <w:rPr>
          <w:rFonts w:ascii="Yu Gothic" w:hAnsi="Yu Gothic" w:eastAsia="Yu Gothic"/>
          <w:b/>
          <w:sz w:val="26"/>
        </w:rPr>
        <w:t>6.1 GST/HST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Buyer=IORの場合、輸入GST（Division III）は原則Distributor負担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place of supply と carrying on business は別問題。office/在庫なしでも登録要否があり得る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単発〜少数B2Bで契約・承諾・請求が米側完結ならリスクは相対的に低いが、反復・主力化で再判定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継続的モニタリングをSchedule又は社内ポリシーに明記</w:t>
      </w:r>
    </w:p>
    <w:p>
      <w:pPr>
        <w:pStyle w:val="Heading2"/>
      </w:pPr>
      <w:r>
        <w:rPr>
          <w:rFonts w:ascii="Yu Gothic" w:hAnsi="Yu Gothic" w:eastAsia="Yu Gothic"/>
          <w:b/>
          <w:sz w:val="26"/>
        </w:rPr>
        <w:t>6.2 PE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CAにconsignment在庫を置かない想定なら、在庫PEは米3PLモデルより軽い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LCJの依存代理人化（TANAAKKがLCJのために契約慣行）を避けるため、SOR=TANAAKKの実態を維持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日加・米加の条約PEは税理士確認</w:t>
      </w:r>
    </w:p>
    <w:p>
      <w:pPr>
        <w:pStyle w:val="Heading2"/>
      </w:pPr>
      <w:r>
        <w:rPr>
          <w:rFonts w:ascii="Yu Gothic" w:hAnsi="Yu Gothic" w:eastAsia="Yu Gothic"/>
          <w:b/>
          <w:sz w:val="26"/>
        </w:rPr>
        <w:t>6.3 日本側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輸出免税・船積書類と、consignment／title定義の会計処理を一致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LCJ残余・TANAAKK routine のTP方針を日本側文書にも反映</w:t>
      </w:r>
    </w:p>
    <w:p>
      <w:pPr>
        <w:pStyle w:val="Heading1"/>
      </w:pPr>
      <w:r>
        <w:rPr>
          <w:rFonts w:ascii="Yu Gothic" w:hAnsi="Yu Gothic" w:eastAsia="Yu Gothic"/>
          <w:b/>
          <w:sz w:val="32"/>
        </w:rPr>
        <w:t>7. 移転価格戦略（詳細）</w:t>
      </w:r>
    </w:p>
    <w:p>
      <w:pPr>
        <w:pStyle w:val="Heading2"/>
      </w:pPr>
      <w:r>
        <w:rPr>
          <w:rFonts w:ascii="Yu Gothic" w:hAnsi="Yu Gothic" w:eastAsia="Yu Gothic"/>
          <w:b/>
          <w:sz w:val="26"/>
        </w:rPr>
        <w:t>7.1 基本方針</w:t>
      </w:r>
    </w:p>
    <w:p>
      <w:pPr>
        <w:spacing w:after="160" w:before="0" w:line="324" w:lineRule="auto"/>
      </w:pPr>
      <w:r>
        <w:rPr>
          <w:rFonts w:ascii="Yu Gothic" w:hAnsi="Yu Gothic" w:eastAsia="Yu Gothic"/>
          <w:b w:val="0"/>
          <w:sz w:val="22"/>
        </w:rPr>
        <w:t>Canadaレグは、LCJ = product/brand/inventory principal（残余）、TANAAKK = limited-risk commercial seller / SOR（routine）、Distributor = 独立第三者、の三層とする。対価の主形式は Net Sales × retention%（又は同等の精算）。ALの本丸は retention% の表面値ではなく、TANAAKK Canadaセグメントの利益水準（OM/ROS）である。</w:t>
      </w:r>
    </w:p>
    <w:p>
      <w:pPr>
        <w:pStyle w:val="Heading2"/>
      </w:pPr>
      <w:r>
        <w:rPr>
          <w:rFonts w:ascii="Yu Gothic" w:hAnsi="Yu Gothic" w:eastAsia="Yu Gothic"/>
          <w:b/>
          <w:sz w:val="26"/>
        </w:rPr>
        <w:t>7.2 Tested party と PLI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604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Tested party</w:t>
            </w:r>
          </w:p>
        </w:tc>
        <w:tc>
          <w:tcPr>
            <w:tcW w:type="dxa" w:w="604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TANAAKK INC の Canada distributor セグメント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主PLI</w:t>
            </w:r>
          </w:p>
        </w:tc>
        <w:tc>
          <w:tcPr>
            <w:tcW w:type="dxa" w:w="604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EBIT / Canada Net Sales（Operating Margin）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補足PLI</w:t>
            </w:r>
          </w:p>
        </w:tc>
        <w:tc>
          <w:tcPr>
            <w:tcW w:type="dxa" w:w="604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必要に応じ Berry ratio（EBIT / OpEx）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目標レンジ（provisional）</w:t>
            </w:r>
          </w:p>
        </w:tc>
        <w:tc>
          <w:tcPr>
            <w:tcW w:type="dxa" w:w="604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OM 約 2.0–3.5%（中心イメージ 2–3%）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契約率の位置づけ</w:t>
            </w:r>
          </w:p>
        </w:tc>
        <w:tc>
          <w:tcPr>
            <w:tcW w:type="dxa" w:w="604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OMを達成するための導出値・調整可能なバンド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b/>
          <w:sz w:val="26"/>
        </w:rPr>
        <w:t>7.3 比較可能性（何ができて何ができないか）</w:t>
      </w:r>
    </w:p>
    <w:p>
      <w:pPr>
        <w:spacing w:after="80" w:before="0" w:line="324" w:lineRule="auto"/>
      </w:pPr>
      <w:r>
        <w:rPr>
          <w:rFonts w:ascii="Yu Gothic" w:hAnsi="Yu Gothic" w:eastAsia="Yu Gothic"/>
          <w:b/>
          <w:sz w:val="22"/>
        </w:rPr>
        <w:t>できないこと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「JP consignment × 米SOR × CA distributor=IOR」と完全同型の競合％の横並び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競合卸の消費者価格・卸粗利を、TANAAKK retentionの直接CUPにすること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求人サイトのcommission掲載を主comparableにすること</w:t>
      </w:r>
    </w:p>
    <w:p>
      <w:pPr>
        <w:spacing w:after="80" w:before="0" w:line="324" w:lineRule="auto"/>
      </w:pPr>
      <w:r>
        <w:rPr>
          <w:rFonts w:ascii="Yu Gothic" w:hAnsi="Yu Gothic" w:eastAsia="Yu Gothic"/>
          <w:b/>
          <w:sz w:val="22"/>
        </w:rPr>
        <w:t>できること（本筋）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NAICS 424310（Piece Goods, Notions, and Other Dry Goods Merchant Wholesalers）を探索母集団の入口にする（thread / notions / embroidery products 等を含む）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在庫の薄い販売会社・LRD・sales entity のOMをTNMMで比較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manufacturers’ rep commissionを補足の相場感として用いる（主検定にしない）</w:t>
      </w:r>
    </w:p>
    <w:p>
      <w:pPr>
        <w:pStyle w:val="Heading2"/>
      </w:pPr>
      <w:r>
        <w:rPr>
          <w:rFonts w:ascii="Yu Gothic" w:hAnsi="Yu Gothic" w:eastAsia="Yu Gothic"/>
          <w:b/>
          <w:sz w:val="26"/>
        </w:rPr>
        <w:t>7.4 外部データの批判的整理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592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データ</w:t>
            </w:r>
          </w:p>
        </w:tc>
        <w:tc>
          <w:tcPr>
            <w:tcW w:type="dxa" w:w="2592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示唆</w:t>
            </w:r>
          </w:p>
        </w:tc>
        <w:tc>
          <w:tcPr>
            <w:tcW w:type="dxa" w:w="3744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限界・使い方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NAICS 424310</w:t>
            </w:r>
          </w:p>
        </w:tc>
        <w:tc>
          <w:tcPr>
            <w:tcW w:type="dxa" w:w="259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業種近さは高い（探索universe）</w:t>
            </w:r>
          </w:p>
        </w:tc>
        <w:tc>
          <w:tcPr>
            <w:tcW w:type="dxa" w:w="3744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率・利益を直接決めない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Merchant wholesaler GM ≈37%</w:t>
            </w:r>
          </w:p>
        </w:tc>
        <w:tc>
          <w:tcPr>
            <w:tcW w:type="dxa" w:w="259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フル卸の粗利水準</w:t>
            </w:r>
          </w:p>
        </w:tc>
        <w:tc>
          <w:tcPr>
            <w:tcW w:type="dxa" w:w="3744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TANAAKK retentionと直接比較禁止。除外説明のみ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MANA distributor向け佣金 5–9%（平均≈7%）</w:t>
            </w:r>
          </w:p>
        </w:tc>
        <w:tc>
          <w:tcPr>
            <w:tcW w:type="dxa" w:w="259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pure repのballparkとして相対的に有用</w:t>
            </w:r>
          </w:p>
        </w:tc>
        <w:tc>
          <w:tcPr>
            <w:tcW w:type="dxa" w:w="3744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1999–2005調査。standardではない。品目混在。Apparel等は≈5%の観測も。repは通常invoice/与信なし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求人等のtextile/apparel 10–15%</w:t>
            </w:r>
          </w:p>
        </w:tc>
        <w:tc>
          <w:tcPr>
            <w:tcW w:type="dxa" w:w="259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低十％案件が存在する程度</w:t>
            </w:r>
          </w:p>
        </w:tc>
        <w:tc>
          <w:tcPr>
            <w:tcW w:type="dxa" w:w="3744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selection bias大。TP主根拠にしない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b/>
          <w:sz w:val="26"/>
        </w:rPr>
        <w:t>7.5 Retention仮説と感度</w:t>
      </w:r>
    </w:p>
    <w:p>
      <w:pPr>
        <w:spacing w:after="120" w:before="0" w:line="324" w:lineRule="auto"/>
      </w:pPr>
      <w:r>
        <w:rPr>
          <w:rFonts w:ascii="Yu Gothic" w:hAnsi="Yu Gothic" w:eastAsia="Yu Gothic"/>
          <w:b w:val="0"/>
          <w:sz w:val="22"/>
        </w:rPr>
        <w:t>関係式（概念）: retention% − Canada関連OPEX% ≈ 目標ROS%。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016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仮説retention（Net）</w:t>
            </w:r>
          </w:p>
        </w:tc>
        <w:tc>
          <w:tcPr>
            <w:tcW w:type="dxa" w:w="2304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位置づけ</w:t>
            </w:r>
          </w:p>
        </w:tc>
        <w:tc>
          <w:tcPr>
            <w:tcW w:type="dxa" w:w="460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コメント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5%</w:t>
            </w:r>
          </w:p>
        </w:tc>
        <w:tc>
          <w:tcPr>
            <w:tcW w:type="dxa" w:w="2304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下側感度</w:t>
            </w:r>
          </w:p>
        </w:tc>
        <w:tc>
          <w:tcPr>
            <w:tcW w:type="dxa" w:w="460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pure rep並み。SOR/与信ありでもOPEXが低ければROSは成立しうる。排除しない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7.5%</w:t>
            </w:r>
          </w:p>
        </w:tc>
        <w:tc>
          <w:tcPr>
            <w:tcW w:type="dxa" w:w="2304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現状案件に近い候補</w:t>
            </w:r>
          </w:p>
        </w:tc>
        <w:tc>
          <w:tcPr>
            <w:tcW w:type="dxa" w:w="460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既存/打診distributor管理が中心でMDが薄い場合に整合しやすい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10%</w:t>
            </w:r>
          </w:p>
        </w:tc>
        <w:tc>
          <w:tcPr>
            <w:tcW w:type="dxa" w:w="2304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テスト仮説（中心候補の一つ）</w:t>
            </w:r>
          </w:p>
        </w:tc>
        <w:tc>
          <w:tcPr>
            <w:tcW w:type="dxa" w:w="460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OPEXが売上比≈7–8%ならROS≈2–3%となり説明しやすい。未証OPEXのまま「実証済み」としない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12.5%</w:t>
            </w:r>
          </w:p>
        </w:tc>
        <w:tc>
          <w:tcPr>
            <w:tcW w:type="dxa" w:w="2304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上側感度</w:t>
            </w:r>
          </w:p>
        </w:tc>
        <w:tc>
          <w:tcPr>
            <w:tcW w:type="dxa" w:w="460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開拓費・travel・専任・重い与信が載る場合に合理化余地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15%</w:t>
            </w:r>
          </w:p>
        </w:tc>
        <w:tc>
          <w:tcPr>
            <w:tcW w:type="dxa" w:w="2304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原則不採用</w:t>
            </w:r>
          </w:p>
        </w:tc>
        <w:tc>
          <w:tcPr>
            <w:tcW w:type="dxa" w:w="460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Faire級のmarketplace/customer opsを担う米モデル寄りの率。独立CA卸相手では厚め</w:t>
            </w:r>
          </w:p>
        </w:tc>
      </w:tr>
    </w:tbl>
    <w:p/>
    <w:p>
      <w:pPr>
        <w:spacing w:after="80" w:before="0" w:line="324" w:lineRule="auto"/>
      </w:pPr>
      <w:r>
        <w:rPr>
          <w:rFonts w:ascii="Yu Gothic" w:hAnsi="Yu Gothic" w:eastAsia="Yu Gothic"/>
          <w:b/>
          <w:sz w:val="22"/>
        </w:rPr>
        <w:t>数値例（説明用）</w:t>
      </w:r>
    </w:p>
    <w:p>
      <w:pPr>
        <w:spacing w:after="160" w:before="0" w:line="324" w:lineRule="auto"/>
      </w:pPr>
      <w:r>
        <w:rPr>
          <w:rFonts w:ascii="Yu Gothic" w:hAnsi="Yu Gothic" w:eastAsia="Yu Gothic"/>
          <w:b w:val="0"/>
          <w:sz w:val="20"/>
        </w:rPr>
        <w:t>Canada Net Sales = 1,000,000 / retention 10% = 100,000 / OPEX 70,000 → EBIT 30,000 → ROS 3%。この3%が独立企業レンジに入るかを見る。OPEXが30,000しかないなら同一10%でROS 7%となり、routine仮説から外れるためretention引下げが必要。</w:t>
      </w:r>
    </w:p>
    <w:p>
      <w:pPr>
        <w:spacing w:after="160" w:before="0" w:line="324" w:lineRule="auto"/>
      </w:pPr>
      <w:r>
        <w:rPr>
          <w:rFonts w:ascii="Yu Gothic" w:hAnsi="Yu Gothic" w:eastAsia="Yu Gothic"/>
          <w:b w:val="0"/>
          <w:sz w:val="20"/>
        </w:rPr>
        <w:t>Gross 10%とNet 3–6%は「ベースが違うから実は近い」わけではない。直卸でGross≈Netなら Gross 10% ≒ Net 10% であり、Net 5%の約2倍になる。</w:t>
      </w:r>
    </w:p>
    <w:p>
      <w:pPr>
        <w:pStyle w:val="Heading2"/>
      </w:pPr>
      <w:r>
        <w:rPr>
          <w:rFonts w:ascii="Yu Gothic" w:hAnsi="Yu Gothic" w:eastAsia="Yu Gothic"/>
          <w:b/>
          <w:sz w:val="26"/>
        </w:rPr>
        <w:t>7.6 文書化の四段構成（修正版）</w:t>
      </w:r>
    </w:p>
    <w:p>
      <w:pPr>
        <w:pStyle w:val="ListNumber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Industry: NAICS 424310 等でcomparable search universeを定義（GM37%は除外説明のみ）</w:t>
      </w:r>
    </w:p>
    <w:p>
      <w:pPr>
        <w:pStyle w:val="ListNumber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Supplemental: manufacturers’ rep commission 5–9%を下側参考。求人例は脚注</w:t>
      </w:r>
    </w:p>
    <w:p>
      <w:pPr>
        <w:pStyle w:val="ListNumber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FAR: TANAAKKはagentより厚く、full-inventory wholesaler/IORより薄い</w:t>
      </w:r>
    </w:p>
    <w:p>
      <w:pPr>
        <w:pStyle w:val="ListNumber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Primary test: retention適用後のCanada ROS/OMが外部レンジに入る（TNMM）</w:t>
      </w:r>
    </w:p>
    <w:p>
      <w:pPr>
        <w:pStyle w:val="Heading2"/>
      </w:pPr>
      <w:r>
        <w:rPr>
          <w:rFonts w:ascii="Yu Gothic" w:hAnsi="Yu Gothic" w:eastAsia="Yu Gothic"/>
          <w:b/>
          <w:sz w:val="26"/>
        </w:rPr>
        <w:t>7.7 精算設計（TPと会計の接続）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Net Sales = Distributor請求額 − 返品・値引 −（方針により）回収不能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与信をTANAAKKが負うなら、未収のままLCJへ売上連動払いをしない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国際輸送等の負担はScheduleで固定（配分前控除かLCJ owner費用か）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四半期: 実績OMが2.0–3.5%バンドを外れたら retentionを契約バンド内で調整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米15/85の機械適用禁止。刺しゅう/生地でCanada率が異なってもFAR優先</w:t>
      </w:r>
    </w:p>
    <w:p>
      <w:pPr>
        <w:pStyle w:val="Heading2"/>
      </w:pPr>
      <w:r>
        <w:rPr>
          <w:rFonts w:ascii="Yu Gothic" w:hAnsi="Yu Gothic" w:eastAsia="Yu Gothic"/>
          <w:b/>
          <w:sz w:val="26"/>
        </w:rPr>
        <w:t>7.8 TPワークプラン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100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Step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作業</w:t>
            </w:r>
          </w:p>
        </w:tc>
        <w:tc>
          <w:tcPr>
            <w:tcW w:type="dxa" w:w="360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成果物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T1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FAR確定（本資料§3）とPLセグメント定義</w:t>
            </w:r>
          </w:p>
        </w:tc>
        <w:tc>
          <w:tcPr>
            <w:tcW w:type="dxa" w:w="360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FARメモ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T2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Canada OPEX配賦ルール（人件費・旅費・与信・本社）</w:t>
            </w:r>
          </w:p>
        </w:tc>
        <w:tc>
          <w:tcPr>
            <w:tcW w:type="dxa" w:w="360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配賦表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T3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retention感度（5/7.5/10/12.5）×ROS</w:t>
            </w:r>
          </w:p>
        </w:tc>
        <w:tc>
          <w:tcPr>
            <w:tcW w:type="dxa" w:w="360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感度Excel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T4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DB等で近似comparables抽出（在庫薄・販売機能）</w:t>
            </w:r>
          </w:p>
        </w:tc>
        <w:tc>
          <w:tcPr>
            <w:tcW w:type="dxa" w:w="360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セット一覧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T5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3–5年OM分布、必要ならWC/在庫強度調整</w:t>
            </w:r>
          </w:p>
        </w:tc>
        <w:tc>
          <w:tcPr>
            <w:tcW w:type="dxa" w:w="360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レンジ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T6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契約バンドと調整条項をScheduleへ反映</w:t>
            </w:r>
          </w:p>
        </w:tc>
        <w:tc>
          <w:tcPr>
            <w:tcW w:type="dxa" w:w="360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条文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T7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Local file / 社内TPメモ更新</w:t>
            </w:r>
          </w:p>
        </w:tc>
        <w:tc>
          <w:tcPr>
            <w:tcW w:type="dxa" w:w="360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文書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b/>
          <w:sz w:val="32"/>
        </w:rPr>
        <w:t>8. 統合ロードマップ（時系列）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44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段階</w:t>
            </w:r>
          </w:p>
        </w:tc>
        <w:tc>
          <w:tcPr>
            <w:tcW w:type="dxa" w:w="1296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期間目安</w:t>
            </w:r>
          </w:p>
        </w:tc>
        <w:tc>
          <w:tcPr>
            <w:tcW w:type="dxa" w:w="144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主担当</w:t>
            </w:r>
          </w:p>
        </w:tc>
        <w:tc>
          <w:tcPr>
            <w:tcW w:type="dxa" w:w="316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主要タスク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Exit criteria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Phase 0</w:t>
              <w:br/>
              <w:t>方針</w:t>
            </w:r>
          </w:p>
        </w:tc>
        <w:tc>
          <w:tcPr>
            <w:tcW w:type="dxa" w:w="1296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即時</w:t>
            </w:r>
          </w:p>
        </w:tc>
        <w:tc>
          <w:tcPr>
            <w:tcW w:type="dxa" w:w="144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経営/TP/法務</w:t>
            </w:r>
          </w:p>
        </w:tc>
        <w:tc>
          <w:tcPr>
            <w:tcW w:type="dxa" w:w="316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本方針承認。buy-sell必須論を採らない／No.2不流用／IOR=Distributor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書面方針承認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Phase 1</w:t>
              <w:br/>
              <w:t>制度設計</w:t>
            </w:r>
          </w:p>
        </w:tc>
        <w:tc>
          <w:tcPr>
            <w:tcW w:type="dxa" w:w="1296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2–4週</w:t>
            </w:r>
          </w:p>
        </w:tc>
        <w:tc>
          <w:tcPr>
            <w:tcW w:type="dxa" w:w="144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法務+税務+Broker</w:t>
            </w:r>
          </w:p>
        </w:tc>
        <w:tc>
          <w:tcPr>
            <w:tcW w:type="dxa" w:w="316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Schedule骨子、Incoterms、broker質問状、GST/PE質問状、OPEX仮置き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三者レビュー完了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Phase 2</w:t>
              <w:br/>
              <w:t>数値</w:t>
            </w:r>
          </w:p>
        </w:tc>
        <w:tc>
          <w:tcPr>
            <w:tcW w:type="dxa" w:w="1296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2–3週</w:t>
              <w:br/>
              <w:t>（並行可）</w:t>
            </w:r>
          </w:p>
        </w:tc>
        <w:tc>
          <w:tcPr>
            <w:tcW w:type="dxa" w:w="144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財務/TP</w:t>
            </w:r>
          </w:p>
        </w:tc>
        <w:tc>
          <w:tcPr>
            <w:tcW w:type="dxa" w:w="316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感度、仮retention（例: 7.5%と10%併記）、comparables着手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仮説とバンド合意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Phase 3</w:t>
              <w:br/>
              <w:t>契約</w:t>
            </w:r>
          </w:p>
        </w:tc>
        <w:tc>
          <w:tcPr>
            <w:tcW w:type="dxa" w:w="1296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3–6週</w:t>
            </w:r>
          </w:p>
        </w:tc>
        <w:tc>
          <w:tcPr>
            <w:tcW w:type="dxa" w:w="144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法務</w:t>
            </w:r>
          </w:p>
        </w:tc>
        <w:tc>
          <w:tcPr>
            <w:tcW w:type="dxa" w:w="316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Canada Schedule署名、Distributor契約、オペSOP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署名完了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Phase 4</w:t>
              <w:br/>
              <w:t>パイロット</w:t>
            </w:r>
          </w:p>
        </w:tc>
        <w:tc>
          <w:tcPr>
            <w:tcW w:type="dxa" w:w="1296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4–8週</w:t>
            </w:r>
          </w:p>
        </w:tc>
        <w:tc>
          <w:tcPr>
            <w:tcW w:type="dxa" w:w="144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オペ+Broker</w:t>
            </w:r>
          </w:p>
        </w:tc>
        <w:tc>
          <w:tcPr>
            <w:tcW w:type="dxa" w:w="316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初回PO〜通関〜入金〜精算のE2E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不具合リスト解消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Phase 5</w:t>
              <w:br/>
              <w:t>定常</w:t>
            </w:r>
          </w:p>
        </w:tc>
        <w:tc>
          <w:tcPr>
            <w:tcW w:type="dxa" w:w="1296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継続</w:t>
            </w:r>
          </w:p>
        </w:tc>
        <w:tc>
          <w:tcPr>
            <w:tcW w:type="dxa" w:w="144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全員</w:t>
            </w:r>
          </w:p>
        </w:tc>
        <w:tc>
          <w:tcPr>
            <w:tcW w:type="dxa" w:w="316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四半期OMレビュー、GST再判定、率のtrue-up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年次TP更新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b/>
          <w:sz w:val="32"/>
        </w:rPr>
        <w:t>9. リスク登録（要約）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1152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水準</w:t>
            </w:r>
          </w:p>
        </w:tc>
        <w:tc>
          <w:tcPr>
            <w:tcW w:type="dxa" w:w="460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緩和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紙SOR化（LCJが実質値決め）</w:t>
            </w:r>
          </w:p>
        </w:tc>
        <w:tc>
          <w:tcPr>
            <w:tcW w:type="dxa" w:w="115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  <w:tc>
          <w:tcPr>
            <w:tcW w:type="dxa" w:w="460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交渉禁止オペ、証跡、TANAAKK実機能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米Path Bの沈黙輸入</w:t>
            </w:r>
          </w:p>
        </w:tc>
        <w:tc>
          <w:tcPr>
            <w:tcW w:type="dxa" w:w="115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  <w:tc>
          <w:tcPr>
            <w:tcW w:type="dxa" w:w="460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Canada独自のtitle/精算定義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書類ストーリー不一致</w:t>
            </w:r>
          </w:p>
        </w:tc>
        <w:tc>
          <w:tcPr>
            <w:tcW w:type="dxa" w:w="115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  <w:tc>
          <w:tcPr>
            <w:tcW w:type="dxa" w:w="460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broker見本承認、SOP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retention過大でOM過大</w:t>
            </w:r>
          </w:p>
        </w:tc>
        <w:tc>
          <w:tcPr>
            <w:tcW w:type="dxa" w:w="115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中高</w:t>
            </w:r>
          </w:p>
        </w:tc>
        <w:tc>
          <w:tcPr>
            <w:tcW w:type="dxa" w:w="460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OPEX計測、四半期調整、15%禁止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GST登録漏れ/過度</w:t>
            </w:r>
          </w:p>
        </w:tc>
        <w:tc>
          <w:tcPr>
            <w:tcW w:type="dxa" w:w="115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460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規模シナリオで税理士確認、年次再判定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与信と精算の不整合</w:t>
            </w:r>
          </w:p>
        </w:tc>
        <w:tc>
          <w:tcPr>
            <w:tcW w:type="dxa" w:w="115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460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回収ベース精算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求人佣金への過度依存</w:t>
            </w:r>
          </w:p>
        </w:tc>
        <w:tc>
          <w:tcPr>
            <w:tcW w:type="dxa" w:w="1152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460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TNMM主、佣金は補足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b/>
          <w:sz w:val="32"/>
        </w:rPr>
        <w:t>10. 意思決定用サマリー</w:t>
      </w:r>
    </w:p>
    <w:p>
      <w:pPr>
        <w:spacing w:after="80" w:before="0" w:line="324" w:lineRule="auto"/>
      </w:pPr>
      <w:r>
        <w:rPr>
          <w:rFonts w:ascii="Yu Gothic" w:hAnsi="Yu Gothic" w:eastAsia="Yu Gothic"/>
          <w:b/>
          <w:sz w:val="22"/>
        </w:rPr>
        <w:t>採る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Japan直送、SOR=TANAAKK、IOR=Distributor、LCJ=在庫+fulfillment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Consignment維持可（真正commercial sale + Canada Schedule再定義が条件）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Canada専用契約、No.2不流用、15%不流用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TPはTNMM（ROS）主、commissionは補足、10%はテスト仮説</w:t>
      </w:r>
    </w:p>
    <w:p>
      <w:pPr>
        <w:spacing w:after="80" w:before="0" w:line="324" w:lineRule="auto"/>
      </w:pPr>
      <w:r>
        <w:rPr>
          <w:rFonts w:ascii="Yu Gothic" w:hAnsi="Yu Gothic" w:eastAsia="Yu Gothic"/>
          <w:b/>
          <w:sz w:val="22"/>
        </w:rPr>
        <w:t>採らない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米経由在庫の再輸出前提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LCJをCanada顧客の売主・交渉主体にする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customsのためだけの形式的二段buy-sell必須化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Gross 10%＝Net 3–6%と同値であるかのような説明</w:t>
      </w:r>
    </w:p>
    <w:p>
      <w:pPr>
        <w:pStyle w:val="ListBullet"/>
        <w:spacing w:after="80" w:line="312" w:lineRule="auto"/>
      </w:pPr>
      <w:r>
        <w:rPr>
          <w:rFonts w:ascii="Yu Gothic" w:hAnsi="Yu Gothic" w:eastAsia="Yu Gothic"/>
          <w:b w:val="0"/>
          <w:sz w:val="22"/>
        </w:rPr>
        <w:t>外部データだけで8–12%/中心10%を「確認済み」と宣言すること</w:t>
      </w:r>
    </w:p>
    <w:p>
      <w:pPr>
        <w:pStyle w:val="Heading1"/>
      </w:pPr>
      <w:r>
        <w:rPr>
          <w:rFonts w:ascii="Yu Gothic" w:hAnsi="Yu Gothic" w:eastAsia="Yu Gothic"/>
          <w:b/>
          <w:sz w:val="32"/>
        </w:rPr>
        <w:t>11. 免責</w:t>
      </w:r>
    </w:p>
    <w:p>
      <w:pPr>
        <w:spacing w:after="160" w:before="0" w:line="324" w:lineRule="auto"/>
      </w:pPr>
      <w:r>
        <w:rPr>
          <w:rFonts w:ascii="Yu Gothic" w:hAnsi="Yu Gothic" w:eastAsia="Yu Gothic"/>
          <w:b w:val="0"/>
          <w:sz w:val="20"/>
        </w:rPr>
        <w:t>本資料は社内検討用の事業・TP方針整理であり、弁護士・税理士・通関士による個別事案の確定助言ではない。Canada税関評価、GST/HST、条約PE、日米移転価格文書は、それぞれ資格専門家の書面確認を経て実施すること。外部統計・MANA調査等は時点・定義に依存し、アームズレングスの唯一の証拠ではない。</w:t>
      </w:r>
    </w:p>
    <w:p>
      <w:pPr>
        <w:spacing w:after="160" w:before="240" w:line="324" w:lineRule="auto"/>
      </w:pPr>
      <w:r>
        <w:rPr>
          <w:rFonts w:ascii="Yu Gothic" w:hAnsi="Yu Gothic" w:eastAsia="Yu Gothic"/>
          <w:b w:val="0"/>
          <w:sz w:val="18"/>
        </w:rPr>
        <w:t>改訂履歴: 2026-10-07 初版（Canada distributor直送・FAR・契約/通関ロードマップ・TP戦略の議論統合）。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