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851DE"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22-psp</w:t>
      </w:r>
      <w:bookmarkStart w:id="0" w:name="_GoBack"/>
      <w:bookmarkEnd w:id="0"/>
    </w:p>
    <w:p w14:paraId="4562EB8F"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过程控制作业2     2025/4/14</w:t>
      </w:r>
    </w:p>
    <w:p w14:paraId="0DCB94B8">
      <w:pPr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问：总结学过流量计的优缺点和适用范围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2099"/>
        <w:gridCol w:w="2649"/>
        <w:gridCol w:w="2372"/>
      </w:tblGrid>
      <w:tr w14:paraId="18343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center"/>
          </w:tcPr>
          <w:p w14:paraId="0C40126B">
            <w:pPr>
              <w:jc w:val="center"/>
              <w:rPr>
                <w:rFonts w:hint="eastAsia"/>
                <w:b/>
                <w:bCs w:val="0"/>
                <w:i w:val="0"/>
                <w:color w:val="000000" w:themeColor="dark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bCs w:val="0"/>
                <w:i w:val="0"/>
                <w:color w:val="000000" w:themeColor="dark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流量计名称</w:t>
            </w:r>
          </w:p>
          <w:p w14:paraId="36C5B23C">
            <w:pPr>
              <w:jc w:val="center"/>
              <w:rPr>
                <w:rFonts w:hint="default"/>
                <w:b/>
                <w:bCs w:val="0"/>
                <w:i w:val="0"/>
                <w:color w:val="000000" w:themeColor="dark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bCs w:val="0"/>
                <w:i w:val="0"/>
                <w:color w:val="000000" w:themeColor="dark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（章节出处）</w:t>
            </w:r>
          </w:p>
        </w:tc>
        <w:tc>
          <w:tcPr>
            <w:tcW w:w="2099" w:type="dxa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center"/>
          </w:tcPr>
          <w:p w14:paraId="05822789">
            <w:pPr>
              <w:jc w:val="center"/>
              <w:rPr>
                <w:rFonts w:hint="default"/>
                <w:b/>
                <w:bCs w:val="0"/>
                <w:i w:val="0"/>
                <w:color w:val="000000" w:themeColor="dark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bCs w:val="0"/>
                <w:i w:val="0"/>
                <w:color w:val="000000" w:themeColor="dark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优点</w:t>
            </w:r>
          </w:p>
        </w:tc>
        <w:tc>
          <w:tcPr>
            <w:tcW w:w="0" w:type="auto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center"/>
          </w:tcPr>
          <w:p w14:paraId="1F0BCE9D">
            <w:pPr>
              <w:jc w:val="center"/>
              <w:rPr>
                <w:rFonts w:hint="default"/>
                <w:b/>
                <w:bCs w:val="0"/>
                <w:i w:val="0"/>
                <w:color w:val="000000" w:themeColor="dark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bCs w:val="0"/>
                <w:i w:val="0"/>
                <w:color w:val="000000" w:themeColor="dark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缺点</w:t>
            </w:r>
          </w:p>
        </w:tc>
        <w:tc>
          <w:tcPr>
            <w:tcW w:w="0" w:type="auto"/>
            <w:tcBorders>
              <w:top w:val="single" w:color="000000" w:themeColor="dark1" w:sz="12" w:space="0"/>
              <w:left w:val="nil"/>
              <w:bottom w:val="single" w:color="000000" w:themeColor="dark1" w:sz="6" w:space="0"/>
              <w:right w:val="nil"/>
            </w:tcBorders>
            <w:shd w:val="clear" w:color="auto" w:fill="FFFFFF"/>
            <w:vAlign w:val="center"/>
          </w:tcPr>
          <w:p w14:paraId="49C3B9DA">
            <w:pPr>
              <w:jc w:val="center"/>
              <w:rPr>
                <w:rFonts w:hint="default"/>
                <w:b/>
                <w:bCs w:val="0"/>
                <w:i w:val="0"/>
                <w:color w:val="000000" w:themeColor="dark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</w:pPr>
            <w:r>
              <w:rPr>
                <w:rFonts w:hint="eastAsia"/>
                <w:b/>
                <w:bCs w:val="0"/>
                <w:i w:val="0"/>
                <w:color w:val="000000" w:themeColor="dark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dk1"/>
                  </w14:solidFill>
                </w14:textFill>
              </w:rPr>
              <w:t>适用范围</w:t>
            </w:r>
          </w:p>
        </w:tc>
      </w:tr>
      <w:tr w14:paraId="4D8D4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2" w:hRule="atLeast"/>
        </w:trPr>
        <w:tc>
          <w:tcPr>
            <w:tcW w:w="1402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75CA3D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差压式</w:t>
            </w:r>
          </w:p>
          <w:p w14:paraId="6DFC6E09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流量计</w:t>
            </w: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（2.4.2）</w:t>
            </w:r>
          </w:p>
          <w:p w14:paraId="3AE55122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99" w:type="dxa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</w:tcPr>
          <w:p w14:paraId="28E9D3E8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</w:tcPr>
          <w:p w14:paraId="593045C1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对管径小于50mm、低雷诺数的流体的测量精度是不高的</w:t>
            </w: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。</w:t>
            </w:r>
          </w:p>
          <w:p w14:paraId="378B70F1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single" w:color="000000" w:themeColor="dark1" w:sz="6" w:space="0"/>
              <w:left w:val="nil"/>
              <w:bottom w:val="nil"/>
              <w:right w:val="nil"/>
            </w:tcBorders>
            <w:shd w:val="clear" w:color="auto" w:fill="FFFFFF"/>
          </w:tcPr>
          <w:p w14:paraId="583ED15C">
            <w:pPr>
              <w:numPr>
                <w:ilvl w:val="0"/>
                <w:numId w:val="1"/>
              </w:numPr>
              <w:ind w:leftChars="0"/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 xml:space="preserve">流体应当清洁，充满圆管并连续稳定地流动。 </w:t>
            </w:r>
          </w:p>
          <w:p w14:paraId="5B23C0B0"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流体的雷诺数在</w:t>
            </w:r>
            <w:r>
              <w:rPr>
                <w:rFonts w:hint="default"/>
                <w:b w:val="0"/>
                <w:bCs w:val="0"/>
                <w:i w:val="0"/>
                <w:color w:val="08090C"/>
                <w:position w:val="-6"/>
                <w:sz w:val="21"/>
                <w:szCs w:val="24"/>
                <w:vertAlign w:val="baseline"/>
                <w:lang w:val="en-US" w:eastAsia="zh-CN"/>
              </w:rPr>
              <w:object>
                <v:shape id="_x0000_i1025" o:spt="75" type="#_x0000_t75" style="height:16pt;width:46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 xml:space="preserve">以上，不发生相变。 </w:t>
            </w:r>
          </w:p>
          <w:p w14:paraId="064334EA"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 xml:space="preserve">管道必须是直的圆形截面，直径大于50mm。 </w:t>
            </w:r>
          </w:p>
          <w:p w14:paraId="237AC78C"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为保证流体在节流装置前后为稳定的流动状态，在节流装置的上、下游必须配置一定长度的直管段。</w:t>
            </w:r>
          </w:p>
          <w:p w14:paraId="5C93B68E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 w14:paraId="15B0E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BD40C8D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转子流量计</w:t>
            </w: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（2.4.3）</w:t>
            </w:r>
          </w:p>
          <w:p w14:paraId="65B8B698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4245A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可以高精度测量</w:t>
            </w: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小流量</w:t>
            </w: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、低流速的流体，有较高的灵敏度。</w:t>
            </w:r>
          </w:p>
          <w:p w14:paraId="36792F67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12E38B4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C2F7CC2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特别适宜于测量管径50mm以下管道的流量，测量的流量可小到每小时几升</w:t>
            </w: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。</w:t>
            </w:r>
          </w:p>
          <w:p w14:paraId="12B53FC6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 w14:paraId="029B3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4E225B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靶式流量计</w:t>
            </w: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（2.4.4）</w:t>
            </w:r>
          </w:p>
          <w:p w14:paraId="18B44356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3A641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86C28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31E0B">
            <w:pPr>
              <w:numPr>
                <w:ilvl w:val="0"/>
                <w:numId w:val="2"/>
              </w:num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和差压式流量计相似，流量和力是开方关系。</w:t>
            </w:r>
          </w:p>
          <w:p w14:paraId="2860F4CF"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可用于较小的雷诺数状态，特别是于高粘度的流体，如重油、沥青等的流量测量。</w:t>
            </w:r>
          </w:p>
          <w:p w14:paraId="09C31939"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基本误差为2～3%。</w:t>
            </w:r>
          </w:p>
          <w:p w14:paraId="4955D3E8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 w14:paraId="0367F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3858C2A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椭圆齿轮</w:t>
            </w:r>
          </w:p>
          <w:p w14:paraId="3104DE55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流量计</w:t>
            </w:r>
          </w:p>
          <w:p w14:paraId="2727F9B6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（2.4.5）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B98B264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由于椭圆齿轮流量计是基于容积式原理测量的</w:t>
            </w: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 xml:space="preserve">与流体的粘度、密度、雷诺数等参数无关。因此， </w:t>
            </w:r>
          </w:p>
          <w:p w14:paraId="7F3DAAA5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安装时不需要有直管段，对流体的流动状态无要求，特别适用于高粘度介质的流量测量。测量精度高，最高可达±0.1%。</w:t>
            </w:r>
          </w:p>
          <w:p w14:paraId="2A310130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1B855B9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椭圆齿轮流量计的使用温度不能过高，否则可能使齿轮膨胀卡死。另外被测流体中不能含有固体颗粒，否则会引起齿轮磨损以至损坏。</w:t>
            </w:r>
          </w:p>
          <w:p w14:paraId="4C9F0E26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648C50F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 w14:paraId="78B20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3FDB6C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涡轮流量计</w:t>
            </w:r>
          </w:p>
          <w:p w14:paraId="7245DFFC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（2.4.6）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42915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涡轮转速不用轴输出，没有齿轮传动误差和密封问题，因而涡轮流量计测量精度高（可达0.2级），耐高压（静压可达50MPa）。</w:t>
            </w:r>
          </w:p>
          <w:p w14:paraId="7E2F8211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输出信号为频率信号，不易受干扰</w:t>
            </w: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便于远传。</w:t>
            </w:r>
          </w:p>
          <w:p w14:paraId="69F37B50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C5124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19354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要求流体清洁，安装时，应加装过滤器，且前后要有一定的直管段。</w:t>
            </w:r>
          </w:p>
          <w:p w14:paraId="3498EDA6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 w14:paraId="46A8E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A0BEDF7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电磁流量计</w:t>
            </w:r>
          </w:p>
          <w:p w14:paraId="6BF6CDC1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（2.4.7）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B1A36BB">
            <w:pPr>
              <w:numPr>
                <w:ilvl w:val="0"/>
                <w:numId w:val="3"/>
              </w:num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 xml:space="preserve">测量导管内无任何阻碍物，因而被测流体的压力损失很小。 </w:t>
            </w:r>
          </w:p>
          <w:p w14:paraId="0212C38E"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 xml:space="preserve">可以测量各种导电液体的流量，如酸、碱、盐溶液，流体可以含有固体颗粒、悬浮物或纤维等。 </w:t>
            </w:r>
          </w:p>
          <w:p w14:paraId="0C8F0BE4"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输出信号与流量之间的关系不受流体的物理性质（例温度、压力、粘度等）变化和流动状态的影响。</w:t>
            </w:r>
          </w:p>
          <w:p w14:paraId="5BAC5D67"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测量响应速度快，可用来测量脉动流量。</w:t>
            </w:r>
          </w:p>
          <w:p w14:paraId="046C8EAB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77C9CAC">
            <w:pPr>
              <w:numPr>
                <w:ilvl w:val="0"/>
                <w:numId w:val="4"/>
              </w:num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只能用来测量导电液体的流量，要求导电率不小于水的导电率。不能测量气体、蒸汽及石油制品等的流量。</w:t>
            </w:r>
          </w:p>
          <w:p w14:paraId="255457FA"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 xml:space="preserve">由于感应电势数值很小，后级采用高放大倍数的放大器，很容易受外界电磁场 </w:t>
            </w:r>
          </w:p>
          <w:p w14:paraId="4E463ECA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干扰的影响。</w:t>
            </w:r>
          </w:p>
          <w:p w14:paraId="64C141F3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296A453C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被测介质是具有导电性的液体介质</w:t>
            </w: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。</w:t>
            </w:r>
          </w:p>
          <w:p w14:paraId="0F67B420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 w14:paraId="0D08B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C11749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旋涡式</w:t>
            </w:r>
          </w:p>
          <w:p w14:paraId="067C83B0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流量计</w:t>
            </w:r>
          </w:p>
          <w:p w14:paraId="2CF07CE4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（2.4.8）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816CF">
            <w:pPr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旋涡流量计的特点是精确度高、测量范围宽、没有运动部件、压力损失小。</w:t>
            </w:r>
          </w:p>
          <w:p w14:paraId="36D6484D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7AD70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E8583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 w14:paraId="5480D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2" w:type="dxa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2F2F2"/>
            <w:vAlign w:val="center"/>
          </w:tcPr>
          <w:p w14:paraId="56F4289A">
            <w:pPr>
              <w:jc w:val="center"/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超声波</w:t>
            </w:r>
          </w:p>
          <w:p w14:paraId="33ABB0CF">
            <w:pPr>
              <w:jc w:val="center"/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流量计</w:t>
            </w:r>
          </w:p>
          <w:p w14:paraId="4AC907BF">
            <w:pPr>
              <w:jc w:val="center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（2.4.9）</w:t>
            </w:r>
          </w:p>
        </w:tc>
        <w:tc>
          <w:tcPr>
            <w:tcW w:w="2099" w:type="dxa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2F2F2"/>
          </w:tcPr>
          <w:p w14:paraId="3BC03490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超声波流量计属非接触式测量，不会影响被测流体的流动状况。测量液体流量精度可达0.2级，测量气体流量精度可达0.5级。量程范围可达20︰1。</w:t>
            </w:r>
          </w:p>
          <w:p w14:paraId="240CE0E3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2F2F2"/>
          </w:tcPr>
          <w:p w14:paraId="38D1C09B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themeColor="dark1" w:sz="12" w:space="0"/>
              <w:right w:val="nil"/>
            </w:tcBorders>
            <w:shd w:val="clear" w:color="auto" w:fill="F2F2F2"/>
          </w:tcPr>
          <w:p w14:paraId="22612D1F">
            <w:pPr>
              <w:numPr>
                <w:ilvl w:val="0"/>
                <w:numId w:val="5"/>
              </w:num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 xml:space="preserve">要求流体清洁，以避免对超声波束的干扰。 </w:t>
            </w:r>
          </w:p>
          <w:p w14:paraId="52399E6B">
            <w:pPr>
              <w:numPr>
                <w:ilvl w:val="0"/>
                <w:numId w:val="5"/>
              </w:numPr>
              <w:ind w:left="0" w:leftChars="0" w:firstLine="0" w:firstLineChars="0"/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  <w:t>测量管前后要有足够长的直管段，以保证流速均匀。</w:t>
            </w:r>
          </w:p>
          <w:p w14:paraId="64548AB1">
            <w:pPr>
              <w:jc w:val="left"/>
              <w:rPr>
                <w:rFonts w:hint="default"/>
                <w:b w:val="0"/>
                <w:bCs w:val="0"/>
                <w:i w:val="0"/>
                <w:color w:val="08090C"/>
                <w:sz w:val="21"/>
                <w:szCs w:val="24"/>
                <w:vertAlign w:val="baseline"/>
                <w:lang w:val="en-US" w:eastAsia="zh-CN"/>
              </w:rPr>
            </w:pPr>
          </w:p>
        </w:tc>
      </w:tr>
    </w:tbl>
    <w:p w14:paraId="73EB4315">
      <w:pPr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44F29"/>
    <w:multiLevelType w:val="singleLevel"/>
    <w:tmpl w:val="94B44F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612446"/>
    <w:multiLevelType w:val="singleLevel"/>
    <w:tmpl w:val="D06124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AE1B55"/>
    <w:multiLevelType w:val="singleLevel"/>
    <w:tmpl w:val="E0AE1B5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0A77E2"/>
    <w:multiLevelType w:val="singleLevel"/>
    <w:tmpl w:val="FE0A77E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33EF7A7"/>
    <w:multiLevelType w:val="singleLevel"/>
    <w:tmpl w:val="233EF7A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03B17"/>
    <w:rsid w:val="39DD50FE"/>
    <w:rsid w:val="40D052FD"/>
    <w:rsid w:val="4632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998</Words>
  <Characters>1071</Characters>
  <Lines>0</Lines>
  <Paragraphs>0</Paragraphs>
  <TotalTime>14</TotalTime>
  <ScaleCrop>false</ScaleCrop>
  <LinksUpToDate>false</LinksUpToDate>
  <CharactersWithSpaces>1086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2025-04-14T03:17:00Z</dcterms:created>
  <dc:creator>psp_dada</dc:creator>
  <cp:lastModifiedBy>psp_dada</cp:lastModifiedBy>
  <dcterms:modified xsi:type="dcterms:W3CDTF">2025-07-08T08:58:12Z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eyJoZGlkIjoiODE5YjZjNjY4YmVkMmM5Mjk3ZDQ5NTI4ZGQ2MDRlNzEiLCJ1c2VySWQiOiI2NTA0NzI4NDAifQ==</vt:lpwstr>
  </property>
  <property fmtid="{D5CDD505-2E9C-101B-9397-08002B2CF9AE}" pid="4" name="ICV">
    <vt:lpwstr>BF5C9283EE334E5C9E54D8715925B75C_12</vt:lpwstr>
  </property>
</Properties>
</file>