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89E24B">
      <w:pPr>
        <w:spacing w:before="156" w:beforeLines="50" w:after="156" w:afterLines="50" w:line="360" w:lineRule="auto"/>
        <w:jc w:val="center"/>
        <w:rPr>
          <w:b/>
          <w:bCs/>
          <w:sz w:val="28"/>
          <w:szCs w:val="28"/>
        </w:rPr>
      </w:pPr>
      <w:bookmarkStart w:id="1" w:name="_GoBack"/>
      <w:bookmarkEnd w:id="1"/>
      <w:r>
        <w:rPr>
          <w:rFonts w:hint="eastAsia"/>
          <w:b/>
          <w:bCs/>
          <w:sz w:val="32"/>
          <w:szCs w:val="32"/>
        </w:rPr>
        <w:t>内容</w:t>
      </w:r>
      <w:r>
        <w:rPr>
          <w:b/>
          <w:bCs/>
          <w:sz w:val="32"/>
          <w:szCs w:val="32"/>
        </w:rPr>
        <w:t>4</w:t>
      </w:r>
      <w:r>
        <w:rPr>
          <w:rFonts w:hint="eastAsia"/>
          <w:b/>
          <w:bCs/>
          <w:sz w:val="32"/>
          <w:szCs w:val="32"/>
        </w:rPr>
        <w:t xml:space="preserve">  脉冲宽度调制PWM功率放大电路设计</w:t>
      </w:r>
    </w:p>
    <w:p w14:paraId="73BC9974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查阅常用的脉冲宽度调制PWM功率放大电路芯片或电路图（大于2种），并阐述具体的工作原理与实现过程；</w:t>
      </w:r>
    </w:p>
    <w:p w14:paraId="4CA27FD5">
      <w:pPr>
        <w:numPr>
          <w:ilvl w:val="0"/>
          <w:numId w:val="2"/>
        </w:numPr>
        <w:spacing w:before="156" w:beforeLines="50" w:after="156" w:afterLines="50" w:line="360" w:lineRule="auto"/>
        <w:ind w:firstLine="420"/>
        <w:jc w:val="left"/>
        <w:rPr>
          <w:rFonts w:hint="eastAsia"/>
          <w:sz w:val="24"/>
        </w:rPr>
      </w:pPr>
      <w:r>
        <w:rPr>
          <w:rFonts w:hint="eastAsia"/>
          <w:sz w:val="24"/>
        </w:rPr>
        <w:t>IR2104</w:t>
      </w:r>
    </w:p>
    <w:p w14:paraId="2ABECCC4">
      <w:pPr>
        <w:numPr>
          <w:ilvl w:val="0"/>
          <w:numId w:val="0"/>
        </w:numPr>
        <w:spacing w:before="156" w:beforeLines="50" w:after="156" w:afterLines="50" w:line="360" w:lineRule="auto"/>
        <w:ind w:firstLine="420"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IR2104(S) 是高压、高速的功率 MOSFET 和 IGBT </w:t>
      </w:r>
      <w:r>
        <w:rPr>
          <w:rFonts w:hint="eastAsia"/>
          <w:b/>
          <w:bCs/>
          <w:sz w:val="24"/>
        </w:rPr>
        <w:t>半桥驱动器</w:t>
      </w:r>
      <w:r>
        <w:rPr>
          <w:rFonts w:hint="eastAsia"/>
          <w:sz w:val="24"/>
        </w:rPr>
        <w:t>，可接受低功率输入以输出大电流驱动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具有相关的高边和低边输出通道。专有的 HVIC（高压集成电路）技术和抗闩锁的 CMOS 技术使得该驱动器能够实现坚固的单片构造。逻辑输入与标准的 CMOS 或 LSTTL 输出兼容，最低支持到 3.3V 逻辑电平。</w:t>
      </w:r>
    </w:p>
    <w:p w14:paraId="7339F6C2">
      <w:pPr>
        <w:numPr>
          <w:ilvl w:val="0"/>
          <w:numId w:val="0"/>
        </w:numPr>
        <w:spacing w:before="156" w:beforeLines="50" w:after="156" w:afterLines="50" w:line="360" w:lineRule="auto"/>
        <w:ind w:firstLine="420"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输出驱动器具备高脉冲电流缓冲级设计，旨在最小化驱动器之间的交叉导通。浮置通道可用于驱动高边配置中的 N 沟道功率 MOSFET 或 IGBT，工作电压范围为 10 至 600 伏特。</w:t>
      </w:r>
    </w:p>
    <w:p w14:paraId="1338BE76">
      <w:pPr>
        <w:numPr>
          <w:ilvl w:val="0"/>
          <w:numId w:val="0"/>
        </w:numPr>
        <w:spacing w:before="156" w:beforeLines="50" w:after="156" w:afterLines="50" w:line="360" w:lineRule="auto"/>
        <w:ind w:firstLine="420" w:firstLineChars="0"/>
        <w:jc w:val="left"/>
        <w:rPr>
          <w:rFonts w:hint="eastAsia"/>
          <w:sz w:val="24"/>
        </w:rPr>
      </w:pPr>
      <w:r>
        <w:drawing>
          <wp:inline distT="0" distB="0" distL="114300" distR="114300">
            <wp:extent cx="5039995" cy="1983740"/>
            <wp:effectExtent l="0" t="0" r="1905" b="1016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8572"/>
      </w:tblGrid>
      <w:tr w14:paraId="6664A2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3EFDF955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符号</w:t>
            </w:r>
          </w:p>
        </w:tc>
        <w:tc>
          <w:tcPr>
            <w:tcW w:w="4545" w:type="pct"/>
            <w:vAlign w:val="center"/>
          </w:tcPr>
          <w:p w14:paraId="2138791F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描述</w:t>
            </w:r>
          </w:p>
        </w:tc>
      </w:tr>
      <w:tr w14:paraId="6CA8EC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4D9E3B7E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IN</w:t>
            </w:r>
          </w:p>
        </w:tc>
        <w:tc>
          <w:tcPr>
            <w:tcW w:w="4545" w:type="pct"/>
            <w:vAlign w:val="center"/>
          </w:tcPr>
          <w:p w14:paraId="6FF36079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高边和低边门极驱动器输出 (HO 和 LO) 的逻辑输入，与 HO 同相位</w:t>
            </w:r>
          </w:p>
        </w:tc>
      </w:tr>
      <w:tr w14:paraId="46601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2CEFC494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SD</w:t>
            </w:r>
          </w:p>
        </w:tc>
        <w:tc>
          <w:tcPr>
            <w:tcW w:w="4545" w:type="pct"/>
            <w:vAlign w:val="center"/>
          </w:tcPr>
          <w:p w14:paraId="05322A12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关断功能的逻辑输入</w:t>
            </w:r>
          </w:p>
        </w:tc>
      </w:tr>
      <w:tr w14:paraId="2E75B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48A4FB4B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VB</w:t>
            </w:r>
          </w:p>
        </w:tc>
        <w:tc>
          <w:tcPr>
            <w:tcW w:w="4545" w:type="pct"/>
            <w:vAlign w:val="center"/>
          </w:tcPr>
          <w:p w14:paraId="4023D1C9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高边浮动电源</w:t>
            </w:r>
          </w:p>
        </w:tc>
      </w:tr>
      <w:tr w14:paraId="51A726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053720CD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HO</w:t>
            </w:r>
          </w:p>
        </w:tc>
        <w:tc>
          <w:tcPr>
            <w:tcW w:w="4545" w:type="pct"/>
            <w:vAlign w:val="center"/>
          </w:tcPr>
          <w:p w14:paraId="405DDED3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高边门极驱动输出</w:t>
            </w:r>
          </w:p>
        </w:tc>
      </w:tr>
      <w:tr w14:paraId="2D4FBE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1B27B807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VS</w:t>
            </w:r>
          </w:p>
        </w:tc>
        <w:tc>
          <w:tcPr>
            <w:tcW w:w="4545" w:type="pct"/>
            <w:vAlign w:val="center"/>
          </w:tcPr>
          <w:p w14:paraId="0144E1FE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高边浮动电源返回端</w:t>
            </w:r>
          </w:p>
        </w:tc>
      </w:tr>
      <w:tr w14:paraId="72236D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038D4D1C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VCC</w:t>
            </w:r>
          </w:p>
        </w:tc>
        <w:tc>
          <w:tcPr>
            <w:tcW w:w="4545" w:type="pct"/>
            <w:vAlign w:val="center"/>
          </w:tcPr>
          <w:p w14:paraId="213D4830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低边和逻辑固定电源</w:t>
            </w:r>
          </w:p>
        </w:tc>
      </w:tr>
      <w:tr w14:paraId="36E859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74F9D9DA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LO</w:t>
            </w:r>
          </w:p>
        </w:tc>
        <w:tc>
          <w:tcPr>
            <w:tcW w:w="4545" w:type="pct"/>
            <w:vAlign w:val="center"/>
          </w:tcPr>
          <w:p w14:paraId="00E8AE2D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低边门极驱动输出</w:t>
            </w:r>
          </w:p>
        </w:tc>
      </w:tr>
      <w:tr w14:paraId="67FA4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454" w:type="pct"/>
            <w:vAlign w:val="center"/>
          </w:tcPr>
          <w:p w14:paraId="10C14F53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COM</w:t>
            </w:r>
          </w:p>
        </w:tc>
        <w:tc>
          <w:tcPr>
            <w:tcW w:w="4545" w:type="pct"/>
            <w:vAlign w:val="center"/>
          </w:tcPr>
          <w:p w14:paraId="0724DFEF">
            <w:pPr>
              <w:spacing w:before="156" w:beforeLines="50" w:after="156" w:afterLines="50" w:line="360" w:lineRule="auto"/>
              <w:jc w:val="center"/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4"/>
                <w:szCs w:val="24"/>
                <w:lang w:val="en-US" w:eastAsia="zh-CN"/>
              </w:rPr>
              <w:t>低边返回端</w:t>
            </w:r>
          </w:p>
        </w:tc>
      </w:tr>
    </w:tbl>
    <w:p w14:paraId="04858EC1">
      <w:pPr>
        <w:numPr>
          <w:ilvl w:val="0"/>
          <w:numId w:val="2"/>
        </w:numPr>
        <w:spacing w:before="156" w:beforeLines="50" w:after="156" w:afterLines="50" w:line="360" w:lineRule="auto"/>
        <w:ind w:left="0" w:leftChars="0" w:firstLine="420" w:firstLineChars="0"/>
        <w:jc w:val="both"/>
        <w:rPr>
          <w:rFonts w:hint="eastAsia"/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</w:rPr>
        <w:t>DRV8701</w:t>
      </w:r>
    </w:p>
    <w:p w14:paraId="6AB23B16">
      <w:pPr>
        <w:spacing w:before="156" w:beforeLines="50" w:after="156" w:afterLines="50" w:line="360" w:lineRule="auto"/>
        <w:ind w:firstLine="420"/>
        <w:jc w:val="left"/>
        <w:rPr>
          <w:rFonts w:hint="eastAsia"/>
          <w:sz w:val="24"/>
        </w:rPr>
      </w:pPr>
      <w:r>
        <w:rPr>
          <w:rFonts w:hint="eastAsia"/>
          <w:sz w:val="24"/>
        </w:rPr>
        <w:t>如下图为DRV8701的功能框图，该</w:t>
      </w:r>
      <w:r>
        <w:rPr>
          <w:rFonts w:hint="eastAsia"/>
          <w:sz w:val="24"/>
          <w:lang w:val="en-US" w:eastAsia="zh-CN"/>
        </w:rPr>
        <w:t>元</w:t>
      </w:r>
      <w:r>
        <w:rPr>
          <w:rFonts w:hint="eastAsia"/>
          <w:sz w:val="24"/>
        </w:rPr>
        <w:t>件通过IN1/IN2两个PWM接口连接控制电路产生的两路反相的PWM信号，通过内置的放大器实现可调节的的电流控制。内部感应放大器允许进行可调电流控制。所有外部MOSFET的门驱动电流可以通过IDRIVE引脚上的一个外部电阻来配置。</w:t>
      </w:r>
    </w:p>
    <w:p w14:paraId="4EFD9EF9">
      <w:pPr>
        <w:spacing w:before="156" w:beforeLines="50" w:after="156" w:afterLines="50" w:line="360" w:lineRule="auto"/>
        <w:ind w:firstLine="420"/>
        <w:jc w:val="left"/>
        <w:rPr>
          <w:rFonts w:hint="eastAsia"/>
          <w:sz w:val="24"/>
        </w:rPr>
      </w:pPr>
      <w:r>
        <w:rPr>
          <w:rFonts w:hint="eastAsia"/>
          <w:sz w:val="24"/>
        </w:rPr>
        <w:t>DRV8701提供了一个低功耗睡眠模式，可以关闭内部低功耗电路以达到非常低的静态电流消耗。这种睡眠模式可以通过将nSLEEP引脚拉低来设置。</w:t>
      </w:r>
    </w:p>
    <w:p w14:paraId="17D5433C">
      <w:pPr>
        <w:spacing w:before="156" w:beforeLines="50" w:after="156" w:afterLines="50" w:line="360" w:lineRule="auto"/>
        <w:ind w:firstLine="420"/>
        <w:jc w:val="left"/>
        <w:rPr>
          <w:rFonts w:hint="eastAsia"/>
          <w:sz w:val="24"/>
        </w:rPr>
      </w:pPr>
      <w:r>
        <w:rPr>
          <w:rFonts w:hint="eastAsia"/>
          <w:sz w:val="24"/>
        </w:rPr>
        <w:t>内部保护锁定功能提供了以下几种保护措施：欠压锁定、充电泵故障、过流关断、短路保护、预驱动器故障以及过温保护。当出现故障条件时，会在nFAULT引脚上指示出来。</w:t>
      </w:r>
    </w:p>
    <w:p w14:paraId="12C2404F">
      <w:pPr>
        <w:spacing w:before="156" w:beforeLines="50" w:after="156" w:afterLines="50" w:line="360" w:lineRule="auto"/>
        <w:ind w:left="420"/>
        <w:jc w:val="center"/>
      </w:pPr>
      <w:r>
        <w:drawing>
          <wp:inline distT="0" distB="0" distL="114300" distR="114300">
            <wp:extent cx="4319905" cy="3928745"/>
            <wp:effectExtent l="0" t="0" r="1079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A904">
      <w:pPr>
        <w:numPr>
          <w:ilvl w:val="0"/>
          <w:numId w:val="2"/>
        </w:numPr>
        <w:spacing w:before="156" w:beforeLines="50" w:after="156" w:afterLines="50" w:line="360" w:lineRule="auto"/>
        <w:ind w:left="0" w:leftChars="0" w:firstLine="420"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IR2184</w:t>
      </w:r>
    </w:p>
    <w:p w14:paraId="0AC1E98D">
      <w:pPr>
        <w:numPr>
          <w:ilvl w:val="0"/>
          <w:numId w:val="0"/>
        </w:numPr>
        <w:spacing w:before="156" w:beforeLines="50" w:after="156" w:afterLines="50" w:line="360" w:lineRule="auto"/>
        <w:ind w:left="420" w:leftChars="0" w:firstLine="420"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IR2184是</w:t>
      </w:r>
      <w:r>
        <w:rPr>
          <w:rFonts w:hint="eastAsia"/>
          <w:b/>
          <w:bCs/>
          <w:sz w:val="24"/>
        </w:rPr>
        <w:t>高压高速功率MOSFET驱动器</w:t>
      </w:r>
      <w:r>
        <w:rPr>
          <w:rFonts w:hint="eastAsia"/>
          <w:sz w:val="24"/>
        </w:rPr>
        <w:t>，具有独立的高、低边参考输出通道。专有的 HVIC（高压集成电路）技术和抗闩锁的 CMOS 技术使得该驱动器能够实现坚固的单片构造。逻辑输入与标准的 CMOS 或 LSTTL 输出兼容，最低支持到 3.3V 逻辑电平。</w:t>
      </w:r>
    </w:p>
    <w:p w14:paraId="560D71B5">
      <w:pPr>
        <w:numPr>
          <w:ilvl w:val="0"/>
          <w:numId w:val="0"/>
        </w:numPr>
        <w:spacing w:before="156" w:beforeLines="50" w:after="156" w:afterLines="50" w:line="360" w:lineRule="auto"/>
        <w:ind w:left="420" w:leftChars="0" w:firstLine="420"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输出驱动器具备高脉冲电流缓冲级设计，旨在最小化驱动器之间的交叉导通。浮置通道可用于驱动高边配置中的 N 沟道功率 MOSFET 或 IGBT，最高工作电压可达 600 伏特。</w:t>
      </w:r>
    </w:p>
    <w:p w14:paraId="7A71DEB1">
      <w:pPr>
        <w:numPr>
          <w:ilvl w:val="0"/>
          <w:numId w:val="0"/>
        </w:numPr>
        <w:spacing w:before="156" w:beforeLines="50" w:after="156" w:afterLines="50" w:line="360" w:lineRule="auto"/>
        <w:ind w:left="420" w:leftChars="0"/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5039995" cy="21336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968E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查阅脉冲宽度调制PWM功率放大芯片L298数据手册，描述其主要工作特性，分析使用其作为本实验方案的可行性；</w:t>
      </w:r>
    </w:p>
    <w:p w14:paraId="4129C109">
      <w:pPr>
        <w:spacing w:before="156" w:beforeLines="50" w:after="156" w:afterLines="50" w:line="360" w:lineRule="auto"/>
        <w:ind w:left="420"/>
        <w:jc w:val="left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L298功率放大芯片</w:t>
      </w:r>
    </w:p>
    <w:p w14:paraId="3BC2945A">
      <w:pPr>
        <w:pStyle w:val="17"/>
        <w:numPr>
          <w:ilvl w:val="0"/>
          <w:numId w:val="0"/>
        </w:numPr>
        <w:spacing w:line="360" w:lineRule="auto"/>
        <w:ind w:leftChars="0"/>
        <w:rPr>
          <w:rFonts w:ascii="Times New Roman" w:hAnsi="Times New Roman"/>
          <w:szCs w:val="24"/>
        </w:rPr>
      </w:pPr>
      <w:r>
        <w:rPr>
          <w:rFonts w:hint="eastAsia"/>
          <w:sz w:val="24"/>
          <w:szCs w:val="24"/>
          <w:lang w:val="en-US" w:eastAsia="zh-CN"/>
        </w:rPr>
        <w:t>1、主要功能：</w:t>
      </w:r>
      <w:r>
        <w:rPr>
          <w:rFonts w:ascii="Times New Roman" w:hAnsi="Times New Roman"/>
          <w:szCs w:val="24"/>
        </w:rPr>
        <w:t>双路全桥电机驱动电路。接收来自TL494芯片提供的PWM信号，并对其进行功率放大处理，从而生成足够强大的脉冲信号来有效驱动电机。</w:t>
      </w:r>
    </w:p>
    <w:p w14:paraId="32C2082E">
      <w:pPr>
        <w:numPr>
          <w:ilvl w:val="0"/>
          <w:numId w:val="0"/>
        </w:numPr>
        <w:jc w:val="left"/>
        <w:rPr>
          <w:rFonts w:ascii="Times New Roman" w:hAnsi="Times New Roman"/>
          <w:szCs w:val="24"/>
        </w:rPr>
      </w:pPr>
      <w:r>
        <w:rPr>
          <w:rFonts w:hint="eastAsia"/>
          <w:sz w:val="24"/>
          <w:szCs w:val="24"/>
          <w:lang w:val="en-US" w:eastAsia="zh-CN"/>
        </w:rPr>
        <w:t>2、技术参数：</w:t>
      </w:r>
    </w:p>
    <w:p w14:paraId="520F8887">
      <w:pPr>
        <w:spacing w:line="276" w:lineRule="auto"/>
        <w:jc w:val="center"/>
        <w:rPr>
          <w:szCs w:val="21"/>
        </w:rPr>
      </w:pPr>
      <w:r>
        <w:rPr>
          <w:rFonts w:hint="eastAsia"/>
          <w:szCs w:val="21"/>
        </w:rPr>
        <w:t>表1</w:t>
      </w:r>
      <w:r>
        <w:rPr>
          <w:szCs w:val="21"/>
        </w:rPr>
        <w:t xml:space="preserve"> 极限参数</w:t>
      </w:r>
    </w:p>
    <w:tbl>
      <w:tblPr>
        <w:tblStyle w:val="21"/>
        <w:tblW w:w="4998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3653"/>
        <w:gridCol w:w="2358"/>
        <w:gridCol w:w="1765"/>
      </w:tblGrid>
      <w:tr w14:paraId="13186A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38F58FB1">
            <w:pPr>
              <w:spacing w:line="276" w:lineRule="auto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物理量</w:t>
            </w:r>
          </w:p>
        </w:tc>
        <w:tc>
          <w:tcPr>
            <w:tcW w:w="1937" w:type="pct"/>
            <w:tcBorders>
              <w:top w:val="single" w:color="auto" w:sz="4" w:space="0"/>
              <w:left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3F965251">
            <w:pPr>
              <w:spacing w:line="276" w:lineRule="auto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描述</w:t>
            </w:r>
          </w:p>
        </w:tc>
        <w:tc>
          <w:tcPr>
            <w:tcW w:w="1250" w:type="pct"/>
            <w:tcBorders>
              <w:top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3D12DB58">
            <w:pPr>
              <w:spacing w:line="276" w:lineRule="auto"/>
              <w:rPr>
                <w:rFonts w:hint="eastAsia" w:eastAsia="宋体"/>
                <w:b w:val="0"/>
                <w:bCs w:val="0"/>
                <w:caps w:val="0"/>
                <w:szCs w:val="21"/>
                <w:lang w:eastAsia="zh-CN"/>
              </w:rPr>
            </w:pPr>
            <w:r>
              <w:rPr>
                <w:rFonts w:hint="eastAsia"/>
                <w:b/>
                <w:bCs/>
                <w:caps/>
                <w:szCs w:val="21"/>
                <w:lang w:val="en-US" w:eastAsia="zh-CN"/>
              </w:rPr>
              <w:t>数值</w:t>
            </w:r>
          </w:p>
        </w:tc>
        <w:tc>
          <w:tcPr>
            <w:tcW w:w="936" w:type="pct"/>
            <w:tcBorders>
              <w:top w:val="single" w:color="auto" w:sz="4" w:space="0"/>
              <w:left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17758913">
            <w:pPr>
              <w:spacing w:line="276" w:lineRule="auto"/>
              <w:jc w:val="center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单位</w:t>
            </w:r>
          </w:p>
        </w:tc>
      </w:tr>
      <w:tr w14:paraId="0C61BD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tcBorders>
              <w:left w:val="single" w:color="auto" w:sz="4" w:space="0"/>
              <w:right w:val="single" w:color="7E7E7E" w:themeColor="text1" w:themeTint="80" w:sz="4" w:space="0"/>
              <w:insideV w:val="single" w:sz="4" w:space="0"/>
            </w:tcBorders>
          </w:tcPr>
          <w:p w14:paraId="2AA87D5D">
            <w:pPr>
              <w:spacing w:line="276" w:lineRule="auto"/>
              <w:rPr>
                <w:b/>
                <w:bCs/>
                <w:caps/>
                <w:szCs w:val="21"/>
                <w:vertAlign w:val="subscript"/>
              </w:rPr>
            </w:pPr>
            <w:r>
              <w:rPr>
                <w:b/>
                <w:bCs/>
                <w:caps/>
                <w:szCs w:val="21"/>
              </w:rPr>
              <w:t>V</w:t>
            </w:r>
            <w:r>
              <w:rPr>
                <w:b/>
                <w:bCs/>
                <w:caps/>
                <w:szCs w:val="21"/>
                <w:vertAlign w:val="subscript"/>
              </w:rPr>
              <w:t>S</w:t>
            </w:r>
          </w:p>
        </w:tc>
        <w:tc>
          <w:tcPr>
            <w:tcW w:w="1937" w:type="pct"/>
            <w:tcBorders>
              <w:right w:val="single" w:color="auto" w:sz="4" w:space="0"/>
            </w:tcBorders>
          </w:tcPr>
          <w:p w14:paraId="1CDE2511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供电电压</w:t>
            </w:r>
          </w:p>
        </w:tc>
        <w:tc>
          <w:tcPr>
            <w:tcW w:w="1250" w:type="pct"/>
            <w:tcBorders>
              <w:right w:val="single" w:color="auto" w:sz="4" w:space="0"/>
            </w:tcBorders>
          </w:tcPr>
          <w:p w14:paraId="79418E49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936" w:type="pct"/>
            <w:tcBorders>
              <w:left w:val="single" w:color="auto" w:sz="4" w:space="0"/>
              <w:right w:val="single" w:color="auto" w:sz="4" w:space="0"/>
            </w:tcBorders>
          </w:tcPr>
          <w:p w14:paraId="62FC840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509AC0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tcBorders>
              <w:left w:val="single" w:color="auto" w:sz="4" w:space="0"/>
              <w:right w:val="single" w:color="7E7E7E" w:themeColor="text1" w:themeTint="80" w:sz="4" w:space="0"/>
              <w:insideV w:val="single" w:sz="4" w:space="0"/>
            </w:tcBorders>
          </w:tcPr>
          <w:p w14:paraId="1CB3E4F0">
            <w:pPr>
              <w:spacing w:line="276" w:lineRule="auto"/>
              <w:rPr>
                <w:b/>
                <w:bCs/>
                <w:caps/>
                <w:szCs w:val="21"/>
              </w:rPr>
            </w:pPr>
            <w:r>
              <w:rPr>
                <w:b/>
                <w:bCs/>
                <w:caps/>
                <w:szCs w:val="21"/>
              </w:rPr>
              <w:t>V</w:t>
            </w:r>
            <w:r>
              <w:rPr>
                <w:b/>
                <w:bCs/>
                <w:caps/>
                <w:szCs w:val="21"/>
                <w:vertAlign w:val="subscript"/>
              </w:rPr>
              <w:t>SS</w:t>
            </w:r>
          </w:p>
        </w:tc>
        <w:tc>
          <w:tcPr>
            <w:tcW w:w="1937" w:type="pct"/>
            <w:tcBorders>
              <w:right w:val="single" w:color="auto" w:sz="4" w:space="0"/>
            </w:tcBorders>
          </w:tcPr>
          <w:p w14:paraId="3C6287CE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逻辑输入电压</w:t>
            </w:r>
          </w:p>
        </w:tc>
        <w:tc>
          <w:tcPr>
            <w:tcW w:w="1250" w:type="pct"/>
            <w:tcBorders>
              <w:right w:val="single" w:color="auto" w:sz="4" w:space="0"/>
            </w:tcBorders>
          </w:tcPr>
          <w:p w14:paraId="5711F903">
            <w:pPr>
              <w:spacing w:line="276" w:lineRule="auto"/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7</w:t>
            </w:r>
          </w:p>
        </w:tc>
        <w:tc>
          <w:tcPr>
            <w:tcW w:w="936" w:type="pct"/>
            <w:tcBorders>
              <w:left w:val="single" w:color="auto" w:sz="4" w:space="0"/>
              <w:right w:val="single" w:color="auto" w:sz="4" w:space="0"/>
            </w:tcBorders>
          </w:tcPr>
          <w:p w14:paraId="678ABDA8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08AD075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tcBorders>
              <w:left w:val="single" w:color="auto" w:sz="4" w:space="0"/>
              <w:right w:val="single" w:color="7E7E7E" w:themeColor="text1" w:themeTint="80" w:sz="4" w:space="0"/>
              <w:insideV w:val="single" w:sz="4" w:space="0"/>
            </w:tcBorders>
          </w:tcPr>
          <w:p w14:paraId="5BD7F2F9">
            <w:pPr>
              <w:spacing w:line="276" w:lineRule="auto"/>
              <w:rPr>
                <w:b/>
                <w:bCs/>
                <w:caps/>
                <w:szCs w:val="21"/>
                <w:vertAlign w:val="subscript"/>
              </w:rPr>
            </w:pPr>
            <w:r>
              <w:rPr>
                <w:b/>
                <w:bCs/>
                <w:caps/>
                <w:szCs w:val="21"/>
              </w:rPr>
              <w:t>V</w:t>
            </w:r>
            <w:r>
              <w:rPr>
                <w:b/>
                <w:bCs/>
                <w:caps/>
                <w:szCs w:val="21"/>
                <w:vertAlign w:val="subscript"/>
              </w:rPr>
              <w:t>IN</w:t>
            </w:r>
          </w:p>
        </w:tc>
        <w:tc>
          <w:tcPr>
            <w:tcW w:w="1937" w:type="pct"/>
            <w:tcBorders>
              <w:right w:val="single" w:color="auto" w:sz="4" w:space="0"/>
            </w:tcBorders>
          </w:tcPr>
          <w:p w14:paraId="069119B2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输入/使能电压</w:t>
            </w:r>
          </w:p>
        </w:tc>
        <w:tc>
          <w:tcPr>
            <w:tcW w:w="1250" w:type="pct"/>
            <w:tcBorders>
              <w:right w:val="single" w:color="auto" w:sz="4" w:space="0"/>
            </w:tcBorders>
          </w:tcPr>
          <w:p w14:paraId="3E3B60AD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-0.3</w:t>
            </w:r>
            <w:r>
              <w:rPr>
                <w:rFonts w:hint="eastAsia"/>
                <w:szCs w:val="21"/>
                <w:lang w:val="en-US" w:eastAsia="zh-CN"/>
              </w:rPr>
              <w:t xml:space="preserve"> to </w:t>
            </w:r>
            <w:r>
              <w:rPr>
                <w:szCs w:val="21"/>
              </w:rPr>
              <w:t>7</w:t>
            </w:r>
          </w:p>
        </w:tc>
        <w:tc>
          <w:tcPr>
            <w:tcW w:w="936" w:type="pct"/>
            <w:tcBorders>
              <w:left w:val="single" w:color="auto" w:sz="4" w:space="0"/>
              <w:right w:val="single" w:color="auto" w:sz="4" w:space="0"/>
            </w:tcBorders>
          </w:tcPr>
          <w:p w14:paraId="06F88FB0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2F461A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vMerge w:val="restart"/>
            <w:tcBorders>
              <w:left w:val="single" w:color="auto" w:sz="4" w:space="0"/>
              <w:right w:val="single" w:color="7E7E7E" w:themeColor="text1" w:themeTint="80" w:sz="4" w:space="0"/>
              <w:insideV w:val="single" w:sz="4" w:space="0"/>
            </w:tcBorders>
            <w:vAlign w:val="center"/>
          </w:tcPr>
          <w:p w14:paraId="70FE60A0">
            <w:pPr>
              <w:spacing w:line="276" w:lineRule="auto"/>
              <w:rPr>
                <w:b/>
                <w:bCs/>
                <w:caps/>
                <w:szCs w:val="21"/>
                <w:vertAlign w:val="subscript"/>
              </w:rPr>
            </w:pPr>
            <w:r>
              <w:rPr>
                <w:rFonts w:hint="eastAsia"/>
                <w:b/>
                <w:bCs/>
                <w:caps/>
                <w:szCs w:val="21"/>
              </w:rPr>
              <w:t>I</w:t>
            </w:r>
            <w:r>
              <w:rPr>
                <w:rFonts w:hint="eastAsia"/>
                <w:b/>
                <w:bCs/>
                <w:caps/>
                <w:szCs w:val="21"/>
                <w:vertAlign w:val="subscript"/>
              </w:rPr>
              <w:t>o</w:t>
            </w:r>
          </w:p>
        </w:tc>
        <w:tc>
          <w:tcPr>
            <w:tcW w:w="1937" w:type="pct"/>
            <w:tcBorders>
              <w:right w:val="single" w:color="auto" w:sz="4" w:space="0"/>
            </w:tcBorders>
          </w:tcPr>
          <w:p w14:paraId="69CDCEC9">
            <w:pPr>
              <w:spacing w:line="276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峰值输出电流</w:t>
            </w:r>
          </w:p>
        </w:tc>
        <w:tc>
          <w:tcPr>
            <w:tcW w:w="1250" w:type="pct"/>
            <w:tcBorders>
              <w:right w:val="single" w:color="auto" w:sz="4" w:space="0"/>
            </w:tcBorders>
          </w:tcPr>
          <w:p w14:paraId="14F8298A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936" w:type="pct"/>
            <w:tcBorders>
              <w:left w:val="single" w:color="auto" w:sz="4" w:space="0"/>
              <w:right w:val="single" w:color="auto" w:sz="4" w:space="0"/>
            </w:tcBorders>
          </w:tcPr>
          <w:p w14:paraId="0F5E49E9">
            <w:pPr>
              <w:spacing w:line="276" w:lineRule="auto"/>
              <w:jc w:val="center"/>
              <w:rPr>
                <w:szCs w:val="21"/>
              </w:rPr>
            </w:pPr>
          </w:p>
        </w:tc>
      </w:tr>
      <w:tr w14:paraId="652D94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vMerge w:val="continue"/>
            <w:tcBorders>
              <w:left w:val="single" w:color="auto" w:sz="4" w:space="0"/>
              <w:right w:val="single" w:color="7E7E7E" w:themeColor="text1" w:themeTint="80" w:sz="4" w:space="0"/>
              <w:insideV w:val="single" w:sz="4" w:space="0"/>
            </w:tcBorders>
          </w:tcPr>
          <w:p w14:paraId="2F795C8C">
            <w:pPr>
              <w:spacing w:line="276" w:lineRule="auto"/>
              <w:rPr>
                <w:b/>
                <w:bCs/>
                <w:caps/>
                <w:szCs w:val="21"/>
              </w:rPr>
            </w:pPr>
          </w:p>
        </w:tc>
        <w:tc>
          <w:tcPr>
            <w:tcW w:w="1937" w:type="pct"/>
            <w:tcBorders>
              <w:right w:val="single" w:color="auto" w:sz="4" w:space="0"/>
            </w:tcBorders>
          </w:tcPr>
          <w:p w14:paraId="5DE04591">
            <w:pPr>
              <w:spacing w:line="276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(不可重复</w:t>
            </w:r>
            <w:r>
              <w:rPr>
                <w:rFonts w:hint="eastAsia"/>
                <w:szCs w:val="21"/>
                <w:lang w:val="en-US" w:eastAsia="zh-CN"/>
              </w:rPr>
              <w:t xml:space="preserve"> t=100us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1250" w:type="pct"/>
            <w:tcBorders>
              <w:right w:val="single" w:color="auto" w:sz="4" w:space="0"/>
            </w:tcBorders>
          </w:tcPr>
          <w:p w14:paraId="5F19634F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936" w:type="pct"/>
            <w:tcBorders>
              <w:left w:val="single" w:color="auto" w:sz="4" w:space="0"/>
              <w:right w:val="single" w:color="auto" w:sz="4" w:space="0"/>
            </w:tcBorders>
          </w:tcPr>
          <w:p w14:paraId="6C03B46C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14:paraId="354536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vMerge w:val="continue"/>
            <w:tcBorders>
              <w:left w:val="single" w:color="auto" w:sz="4" w:space="0"/>
              <w:right w:val="single" w:color="7E7E7E" w:themeColor="text1" w:themeTint="80" w:sz="4" w:space="0"/>
              <w:insideV w:val="single" w:sz="4" w:space="0"/>
            </w:tcBorders>
          </w:tcPr>
          <w:p w14:paraId="20A91F92">
            <w:pPr>
              <w:spacing w:line="276" w:lineRule="auto"/>
              <w:rPr>
                <w:b/>
                <w:bCs/>
                <w:caps/>
                <w:szCs w:val="21"/>
              </w:rPr>
            </w:pPr>
          </w:p>
        </w:tc>
        <w:tc>
          <w:tcPr>
            <w:tcW w:w="1937" w:type="pct"/>
            <w:tcBorders>
              <w:right w:val="single" w:color="auto" w:sz="4" w:space="0"/>
            </w:tcBorders>
          </w:tcPr>
          <w:p w14:paraId="132CF3EA">
            <w:pPr>
              <w:spacing w:line="276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(可重复)</w:t>
            </w:r>
          </w:p>
        </w:tc>
        <w:tc>
          <w:tcPr>
            <w:tcW w:w="1250" w:type="pct"/>
            <w:tcBorders>
              <w:right w:val="single" w:color="auto" w:sz="4" w:space="0"/>
            </w:tcBorders>
          </w:tcPr>
          <w:p w14:paraId="20E0FC14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.5</w:t>
            </w:r>
          </w:p>
        </w:tc>
        <w:tc>
          <w:tcPr>
            <w:tcW w:w="936" w:type="pct"/>
            <w:tcBorders>
              <w:left w:val="single" w:color="auto" w:sz="4" w:space="0"/>
              <w:right w:val="single" w:color="auto" w:sz="4" w:space="0"/>
            </w:tcBorders>
          </w:tcPr>
          <w:p w14:paraId="72334E0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  <w:tr w14:paraId="36CB47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5" w:type="pct"/>
            <w:vMerge w:val="continue"/>
            <w:tcBorders>
              <w:left w:val="single" w:color="auto" w:sz="4" w:space="0"/>
              <w:bottom w:val="single" w:color="auto" w:sz="4" w:space="0"/>
              <w:right w:val="single" w:color="7E7E7E" w:themeColor="text1" w:themeTint="80" w:sz="4" w:space="0"/>
              <w:insideV w:val="single" w:sz="4" w:space="0"/>
            </w:tcBorders>
          </w:tcPr>
          <w:p w14:paraId="3B4177E6">
            <w:pPr>
              <w:spacing w:line="276" w:lineRule="auto"/>
              <w:rPr>
                <w:b/>
                <w:bCs/>
                <w:caps/>
                <w:szCs w:val="21"/>
              </w:rPr>
            </w:pPr>
          </w:p>
        </w:tc>
        <w:tc>
          <w:tcPr>
            <w:tcW w:w="1937" w:type="pct"/>
            <w:tcBorders>
              <w:bottom w:val="single" w:color="auto" w:sz="4" w:space="0"/>
              <w:right w:val="single" w:color="auto" w:sz="4" w:space="0"/>
            </w:tcBorders>
          </w:tcPr>
          <w:p w14:paraId="59A18E6A">
            <w:pPr>
              <w:spacing w:line="276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(直流运行</w:t>
            </w:r>
            <w:r>
              <w:rPr>
                <w:szCs w:val="21"/>
              </w:rPr>
              <w:t>)</w:t>
            </w:r>
          </w:p>
        </w:tc>
        <w:tc>
          <w:tcPr>
            <w:tcW w:w="1250" w:type="pct"/>
            <w:tcBorders>
              <w:bottom w:val="single" w:color="auto" w:sz="4" w:space="0"/>
              <w:right w:val="single" w:color="auto" w:sz="4" w:space="0"/>
            </w:tcBorders>
          </w:tcPr>
          <w:p w14:paraId="541A8439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936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4F570D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</w:tr>
    </w:tbl>
    <w:p w14:paraId="2F7428FC">
      <w:pPr>
        <w:spacing w:line="276" w:lineRule="auto"/>
        <w:jc w:val="center"/>
        <w:rPr>
          <w:szCs w:val="21"/>
        </w:rPr>
      </w:pPr>
      <w:r>
        <w:rPr>
          <w:rFonts w:hint="eastAsia"/>
          <w:szCs w:val="21"/>
        </w:rPr>
        <w:t>表2</w:t>
      </w:r>
      <w:r>
        <w:rPr>
          <w:szCs w:val="21"/>
        </w:rPr>
        <w:t xml:space="preserve"> 电气特性</w:t>
      </w:r>
    </w:p>
    <w:tbl>
      <w:tblPr>
        <w:tblStyle w:val="21"/>
        <w:tblW w:w="8741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3572"/>
        <w:gridCol w:w="1172"/>
        <w:gridCol w:w="997"/>
        <w:gridCol w:w="1081"/>
        <w:gridCol w:w="926"/>
      </w:tblGrid>
      <w:tr w14:paraId="3F47B78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16551248">
            <w:pPr>
              <w:spacing w:line="276" w:lineRule="auto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物理量</w:t>
            </w:r>
          </w:p>
        </w:tc>
        <w:tc>
          <w:tcPr>
            <w:tcW w:w="3572" w:type="dxa"/>
            <w:tcBorders>
              <w:top w:val="single" w:color="auto" w:sz="4" w:space="0"/>
              <w:left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58AB199D">
            <w:pPr>
              <w:spacing w:line="276" w:lineRule="auto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描述</w:t>
            </w:r>
          </w:p>
        </w:tc>
        <w:tc>
          <w:tcPr>
            <w:tcW w:w="1172" w:type="dxa"/>
            <w:tcBorders>
              <w:top w:val="single" w:color="auto" w:sz="4" w:space="0"/>
              <w:left w:val="single" w:color="auto" w:sz="4" w:space="0"/>
              <w:bottom w:val="single" w:color="7E7E7E" w:themeColor="text1" w:themeTint="80" w:sz="4" w:space="0"/>
              <w:insideH w:val="single" w:sz="4" w:space="0"/>
            </w:tcBorders>
          </w:tcPr>
          <w:p w14:paraId="3702847C">
            <w:pPr>
              <w:spacing w:line="276" w:lineRule="auto"/>
              <w:jc w:val="center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最小值</w:t>
            </w:r>
          </w:p>
        </w:tc>
        <w:tc>
          <w:tcPr>
            <w:tcW w:w="997" w:type="dxa"/>
            <w:tcBorders>
              <w:top w:val="single" w:color="auto" w:sz="4" w:space="0"/>
              <w:bottom w:val="single" w:color="7E7E7E" w:themeColor="text1" w:themeTint="80" w:sz="4" w:space="0"/>
              <w:insideH w:val="single" w:sz="4" w:space="0"/>
            </w:tcBorders>
          </w:tcPr>
          <w:p w14:paraId="76A16AD3">
            <w:pPr>
              <w:spacing w:line="276" w:lineRule="auto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典型值</w:t>
            </w:r>
          </w:p>
        </w:tc>
        <w:tc>
          <w:tcPr>
            <w:tcW w:w="1081" w:type="dxa"/>
            <w:tcBorders>
              <w:top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298C226E">
            <w:pPr>
              <w:spacing w:line="276" w:lineRule="auto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最大值</w:t>
            </w:r>
          </w:p>
        </w:tc>
        <w:tc>
          <w:tcPr>
            <w:tcW w:w="926" w:type="dxa"/>
            <w:tcBorders>
              <w:top w:val="single" w:color="auto" w:sz="4" w:space="0"/>
              <w:left w:val="single" w:color="auto" w:sz="4" w:space="0"/>
              <w:bottom w:val="single" w:color="7E7E7E" w:themeColor="text1" w:themeTint="80" w:sz="4" w:space="0"/>
              <w:right w:val="single" w:color="auto" w:sz="4" w:space="0"/>
              <w:insideH w:val="single" w:sz="4" w:space="0"/>
            </w:tcBorders>
          </w:tcPr>
          <w:p w14:paraId="0011A085">
            <w:pPr>
              <w:spacing w:line="276" w:lineRule="auto"/>
              <w:jc w:val="center"/>
              <w:rPr>
                <w:b w:val="0"/>
                <w:bCs w:val="0"/>
                <w:caps w:val="0"/>
                <w:szCs w:val="21"/>
              </w:rPr>
            </w:pPr>
            <w:r>
              <w:rPr>
                <w:b/>
                <w:bCs/>
                <w:caps/>
                <w:szCs w:val="21"/>
              </w:rPr>
              <w:t>单位</w:t>
            </w:r>
          </w:p>
        </w:tc>
      </w:tr>
      <w:tr w14:paraId="6570BE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14:paraId="3D588C23">
            <w:pPr>
              <w:spacing w:line="276" w:lineRule="auto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V</w:t>
            </w:r>
            <w:r>
              <w:rPr>
                <w:b/>
                <w:bCs/>
                <w:szCs w:val="21"/>
                <w:vertAlign w:val="subscript"/>
              </w:rPr>
              <w:t>S</w:t>
            </w:r>
          </w:p>
        </w:tc>
        <w:tc>
          <w:tcPr>
            <w:tcW w:w="357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14:paraId="0904F6E1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供电电压</w:t>
            </w:r>
          </w:p>
        </w:tc>
        <w:tc>
          <w:tcPr>
            <w:tcW w:w="1172" w:type="dxa"/>
            <w:tcBorders>
              <w:top w:val="single" w:color="auto" w:sz="4" w:space="0"/>
              <w:left w:val="single" w:color="auto" w:sz="4" w:space="0"/>
            </w:tcBorders>
          </w:tcPr>
          <w:p w14:paraId="1E7FD940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szCs w:val="21"/>
                <w:vertAlign w:val="subscript"/>
              </w:rPr>
              <w:t>IH</w:t>
            </w:r>
            <w:r>
              <w:rPr>
                <w:szCs w:val="21"/>
              </w:rPr>
              <w:t>+2.5</w:t>
            </w:r>
          </w:p>
        </w:tc>
        <w:tc>
          <w:tcPr>
            <w:tcW w:w="997" w:type="dxa"/>
            <w:tcBorders>
              <w:top w:val="single" w:color="auto" w:sz="4" w:space="0"/>
            </w:tcBorders>
          </w:tcPr>
          <w:p w14:paraId="29BE38FA">
            <w:pPr>
              <w:spacing w:line="276" w:lineRule="auto"/>
              <w:rPr>
                <w:szCs w:val="21"/>
              </w:rPr>
            </w:pPr>
          </w:p>
        </w:tc>
        <w:tc>
          <w:tcPr>
            <w:tcW w:w="1081" w:type="dxa"/>
            <w:tcBorders>
              <w:top w:val="single" w:color="auto" w:sz="4" w:space="0"/>
              <w:right w:val="single" w:color="auto" w:sz="4" w:space="0"/>
            </w:tcBorders>
          </w:tcPr>
          <w:p w14:paraId="019CA8AA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46</w:t>
            </w:r>
          </w:p>
        </w:tc>
        <w:tc>
          <w:tcPr>
            <w:tcW w:w="92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14:paraId="71FF2D10">
            <w:pPr>
              <w:spacing w:line="276" w:lineRule="auto"/>
              <w:jc w:val="center"/>
              <w:rPr>
                <w:szCs w:val="21"/>
              </w:rPr>
            </w:pPr>
          </w:p>
        </w:tc>
      </w:tr>
      <w:tr w14:paraId="60545F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314B9A84">
            <w:pPr>
              <w:spacing w:line="276" w:lineRule="auto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V</w:t>
            </w:r>
            <w:r>
              <w:rPr>
                <w:b/>
                <w:bCs/>
                <w:szCs w:val="21"/>
                <w:vertAlign w:val="subscript"/>
              </w:rPr>
              <w:t>SS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3C738BA0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逻辑供电电压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37C05284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4.5</w:t>
            </w:r>
          </w:p>
        </w:tc>
        <w:tc>
          <w:tcPr>
            <w:tcW w:w="997" w:type="dxa"/>
          </w:tcPr>
          <w:p w14:paraId="682A602D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3CB89077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0F8AF13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426AAE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1FD2963C">
            <w:pPr>
              <w:spacing w:line="276" w:lineRule="auto"/>
              <w:rPr>
                <w:b/>
                <w:bCs/>
                <w:szCs w:val="21"/>
                <w:vertAlign w:val="subscript"/>
              </w:rPr>
            </w:pPr>
            <w:r>
              <w:rPr>
                <w:b/>
                <w:bCs/>
                <w:szCs w:val="21"/>
              </w:rPr>
              <w:t>V</w:t>
            </w:r>
            <w:r>
              <w:rPr>
                <w:b/>
                <w:bCs/>
                <w:szCs w:val="21"/>
                <w:vertAlign w:val="subscript"/>
              </w:rPr>
              <w:t>IL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6CDA5170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输入低电平电压（input端子）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0E732722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-0.3</w:t>
            </w:r>
          </w:p>
        </w:tc>
        <w:tc>
          <w:tcPr>
            <w:tcW w:w="997" w:type="dxa"/>
          </w:tcPr>
          <w:p w14:paraId="72B0F720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0A05742C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1.5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0E46850B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48EDD3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11AD4F09">
            <w:pPr>
              <w:spacing w:line="276" w:lineRule="auto"/>
              <w:rPr>
                <w:b/>
                <w:bCs/>
                <w:szCs w:val="21"/>
                <w:vertAlign w:val="subscript"/>
              </w:rPr>
            </w:pPr>
            <w:r>
              <w:rPr>
                <w:b/>
                <w:bCs/>
                <w:szCs w:val="21"/>
              </w:rPr>
              <w:t>V</w:t>
            </w:r>
            <w:r>
              <w:rPr>
                <w:b/>
                <w:bCs/>
                <w:szCs w:val="21"/>
                <w:vertAlign w:val="subscript"/>
              </w:rPr>
              <w:t>IH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40BDD34D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输入高电平电压（input端子）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4D60124E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2.3</w:t>
            </w:r>
          </w:p>
        </w:tc>
        <w:tc>
          <w:tcPr>
            <w:tcW w:w="997" w:type="dxa"/>
          </w:tcPr>
          <w:p w14:paraId="79AB124C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32E9F741">
            <w:pPr>
              <w:spacing w:line="276" w:lineRule="auto"/>
              <w:jc w:val="center"/>
              <w:rPr>
                <w:szCs w:val="21"/>
                <w:vertAlign w:val="subscript"/>
              </w:rPr>
            </w:pPr>
            <w:r>
              <w:rPr>
                <w:szCs w:val="21"/>
              </w:rPr>
              <w:t>V</w:t>
            </w:r>
            <w:r>
              <w:rPr>
                <w:szCs w:val="21"/>
                <w:vertAlign w:val="subscript"/>
              </w:rPr>
              <w:t>SS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54BF4603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12067CF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66CF441A">
            <w:pPr>
              <w:spacing w:line="276" w:lineRule="auto"/>
              <w:rPr>
                <w:b/>
                <w:bCs/>
                <w:szCs w:val="21"/>
                <w:vertAlign w:val="subscript"/>
              </w:rPr>
            </w:pPr>
            <w:r>
              <w:rPr>
                <w:b/>
                <w:bCs/>
                <w:szCs w:val="21"/>
              </w:rPr>
              <w:t>I</w:t>
            </w:r>
            <w:r>
              <w:rPr>
                <w:b/>
                <w:bCs/>
                <w:szCs w:val="21"/>
                <w:vertAlign w:val="subscript"/>
              </w:rPr>
              <w:t>IL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38747635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输入低电平电流（input端子）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66E7A425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997" w:type="dxa"/>
          </w:tcPr>
          <w:p w14:paraId="5F9117ED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5C4FBBEF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-10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79E99BAF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μA</w:t>
            </w:r>
          </w:p>
        </w:tc>
      </w:tr>
      <w:tr w14:paraId="4296D5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1DF3E07A">
            <w:pPr>
              <w:spacing w:line="276" w:lineRule="auto"/>
              <w:rPr>
                <w:b/>
                <w:bCs/>
                <w:szCs w:val="21"/>
                <w:vertAlign w:val="subscript"/>
              </w:rPr>
            </w:pPr>
            <w:r>
              <w:rPr>
                <w:b/>
                <w:bCs/>
                <w:szCs w:val="21"/>
              </w:rPr>
              <w:t>I</w:t>
            </w:r>
            <w:r>
              <w:rPr>
                <w:b/>
                <w:bCs/>
                <w:szCs w:val="21"/>
                <w:vertAlign w:val="subscript"/>
              </w:rPr>
              <w:t>IH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2FF76144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输入高电平电流（input端子）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405B4957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997" w:type="dxa"/>
          </w:tcPr>
          <w:p w14:paraId="09196E11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2FA04563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3292BE2F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μA</w:t>
            </w:r>
          </w:p>
        </w:tc>
      </w:tr>
      <w:tr w14:paraId="33EE6B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2F778A72">
            <w:pPr>
              <w:spacing w:line="276" w:lineRule="auto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V</w:t>
            </w:r>
            <w:r>
              <w:rPr>
                <w:b/>
                <w:bCs/>
                <w:szCs w:val="21"/>
                <w:vertAlign w:val="subscript"/>
              </w:rPr>
              <w:t>en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=L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1806F888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输入低电平电压（enable端子）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5E7926F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-0.3</w:t>
            </w:r>
          </w:p>
        </w:tc>
        <w:tc>
          <w:tcPr>
            <w:tcW w:w="997" w:type="dxa"/>
          </w:tcPr>
          <w:p w14:paraId="68D895FD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57FEF6F5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1.5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6B54EBFE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2B491DF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5C8DD49F">
            <w:pPr>
              <w:spacing w:line="276" w:lineRule="auto"/>
              <w:rPr>
                <w:rFonts w:hint="default"/>
                <w:b/>
                <w:bCs/>
                <w:szCs w:val="21"/>
                <w:lang w:val="en-US"/>
              </w:rPr>
            </w:pPr>
            <w:r>
              <w:rPr>
                <w:b/>
                <w:bCs/>
                <w:szCs w:val="21"/>
              </w:rPr>
              <w:t>V</w:t>
            </w:r>
            <w:r>
              <w:rPr>
                <w:b/>
                <w:bCs/>
                <w:szCs w:val="21"/>
                <w:vertAlign w:val="subscript"/>
              </w:rPr>
              <w:t>en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=H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4822BE1D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输入高电平电压（enable端子）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77E43D04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2.3</w:t>
            </w:r>
          </w:p>
        </w:tc>
        <w:tc>
          <w:tcPr>
            <w:tcW w:w="997" w:type="dxa"/>
          </w:tcPr>
          <w:p w14:paraId="0A05C488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1A515579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szCs w:val="21"/>
                <w:vertAlign w:val="subscript"/>
              </w:rPr>
              <w:t>SS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3D48C20C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14:paraId="70894A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2F0EDA15">
            <w:pPr>
              <w:spacing w:line="276" w:lineRule="auto"/>
              <w:rPr>
                <w:rFonts w:hint="eastAsia" w:eastAsia="宋体"/>
                <w:b/>
                <w:bCs/>
                <w:szCs w:val="21"/>
                <w:lang w:val="en-US" w:eastAsia="zh-CN"/>
              </w:rPr>
            </w:pPr>
            <w:r>
              <w:rPr>
                <w:b/>
                <w:bCs/>
                <w:szCs w:val="21"/>
              </w:rPr>
              <w:t>I</w:t>
            </w:r>
            <w:r>
              <w:rPr>
                <w:b/>
                <w:bCs/>
                <w:szCs w:val="21"/>
                <w:vertAlign w:val="subscript"/>
              </w:rPr>
              <w:t>en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=L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67D11332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输入低电平电流（enable端子）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5ADA4E83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997" w:type="dxa"/>
          </w:tcPr>
          <w:p w14:paraId="0402E045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7D626106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-10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42311898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μA</w:t>
            </w:r>
          </w:p>
        </w:tc>
      </w:tr>
      <w:tr w14:paraId="5779A4E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right w:val="single" w:color="auto" w:sz="4" w:space="0"/>
            </w:tcBorders>
          </w:tcPr>
          <w:p w14:paraId="5E0DFE6F">
            <w:pPr>
              <w:spacing w:line="276" w:lineRule="auto"/>
              <w:rPr>
                <w:rFonts w:hint="default"/>
                <w:b/>
                <w:bCs/>
                <w:szCs w:val="21"/>
                <w:lang w:val="en-US"/>
              </w:rPr>
            </w:pPr>
            <w:r>
              <w:rPr>
                <w:b/>
                <w:bCs/>
                <w:szCs w:val="21"/>
              </w:rPr>
              <w:t>I</w:t>
            </w:r>
            <w:r>
              <w:rPr>
                <w:rFonts w:hint="eastAsia"/>
                <w:b/>
                <w:bCs/>
                <w:szCs w:val="21"/>
                <w:vertAlign w:val="subscript"/>
                <w:lang w:val="en-US" w:eastAsia="zh-CN"/>
              </w:rPr>
              <w:t>en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=H</w:t>
            </w:r>
          </w:p>
        </w:tc>
        <w:tc>
          <w:tcPr>
            <w:tcW w:w="3572" w:type="dxa"/>
            <w:tcBorders>
              <w:left w:val="single" w:color="auto" w:sz="4" w:space="0"/>
              <w:right w:val="single" w:color="auto" w:sz="4" w:space="0"/>
            </w:tcBorders>
          </w:tcPr>
          <w:p w14:paraId="59E6C95B">
            <w:pPr>
              <w:spacing w:line="276" w:lineRule="auto"/>
              <w:rPr>
                <w:szCs w:val="21"/>
              </w:rPr>
            </w:pPr>
            <w:r>
              <w:rPr>
                <w:szCs w:val="21"/>
              </w:rPr>
              <w:t>输入高电平电流（enable端子）</w:t>
            </w:r>
          </w:p>
        </w:tc>
        <w:tc>
          <w:tcPr>
            <w:tcW w:w="1172" w:type="dxa"/>
            <w:tcBorders>
              <w:left w:val="single" w:color="auto" w:sz="4" w:space="0"/>
            </w:tcBorders>
          </w:tcPr>
          <w:p w14:paraId="05C78A85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997" w:type="dxa"/>
          </w:tcPr>
          <w:p w14:paraId="5319B75A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</w:p>
        </w:tc>
        <w:tc>
          <w:tcPr>
            <w:tcW w:w="1081" w:type="dxa"/>
            <w:tcBorders>
              <w:right w:val="single" w:color="auto" w:sz="4" w:space="0"/>
            </w:tcBorders>
          </w:tcPr>
          <w:p w14:paraId="1C9BE9E3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926" w:type="dxa"/>
            <w:tcBorders>
              <w:left w:val="single" w:color="auto" w:sz="4" w:space="0"/>
              <w:right w:val="single" w:color="auto" w:sz="4" w:space="0"/>
            </w:tcBorders>
          </w:tcPr>
          <w:p w14:paraId="24687C6A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μA</w:t>
            </w:r>
          </w:p>
        </w:tc>
      </w:tr>
      <w:tr w14:paraId="594A931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93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B82D2C">
            <w:pPr>
              <w:spacing w:line="276" w:lineRule="auto"/>
              <w:rPr>
                <w:b/>
                <w:bCs/>
                <w:szCs w:val="21"/>
                <w:vertAlign w:val="subscript"/>
              </w:rPr>
            </w:pPr>
            <w:r>
              <w:rPr>
                <w:rFonts w:hint="eastAsia"/>
                <w:b/>
                <w:bCs/>
                <w:szCs w:val="21"/>
              </w:rPr>
              <w:t>f</w:t>
            </w:r>
            <w:r>
              <w:rPr>
                <w:b/>
                <w:bCs/>
                <w:szCs w:val="21"/>
                <w:vertAlign w:val="subscript"/>
              </w:rPr>
              <w:t>C</w:t>
            </w:r>
          </w:p>
        </w:tc>
        <w:tc>
          <w:tcPr>
            <w:tcW w:w="3572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A9E978">
            <w:pPr>
              <w:spacing w:line="276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开关频率</w:t>
            </w:r>
          </w:p>
        </w:tc>
        <w:tc>
          <w:tcPr>
            <w:tcW w:w="1172" w:type="dxa"/>
            <w:tcBorders>
              <w:left w:val="single" w:color="auto" w:sz="4" w:space="0"/>
              <w:bottom w:val="single" w:color="auto" w:sz="4" w:space="0"/>
            </w:tcBorders>
          </w:tcPr>
          <w:p w14:paraId="656E7D6E">
            <w:pPr>
              <w:spacing w:line="276" w:lineRule="auto"/>
              <w:jc w:val="center"/>
              <w:rPr>
                <w:szCs w:val="21"/>
              </w:rPr>
            </w:pPr>
          </w:p>
        </w:tc>
        <w:tc>
          <w:tcPr>
            <w:tcW w:w="997" w:type="dxa"/>
            <w:tcBorders>
              <w:bottom w:val="single" w:color="auto" w:sz="4" w:space="0"/>
            </w:tcBorders>
          </w:tcPr>
          <w:p w14:paraId="5ACEC0D2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</w:t>
            </w:r>
          </w:p>
        </w:tc>
        <w:tc>
          <w:tcPr>
            <w:tcW w:w="1081" w:type="dxa"/>
            <w:tcBorders>
              <w:bottom w:val="single" w:color="auto" w:sz="4" w:space="0"/>
              <w:right w:val="single" w:color="auto" w:sz="4" w:space="0"/>
            </w:tcBorders>
          </w:tcPr>
          <w:p w14:paraId="48C82CA7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40</w:t>
            </w:r>
          </w:p>
        </w:tc>
        <w:tc>
          <w:tcPr>
            <w:tcW w:w="926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65DFE1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kHz</w:t>
            </w:r>
          </w:p>
        </w:tc>
      </w:tr>
    </w:tbl>
    <w:p w14:paraId="7D7D108A"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 w14:paraId="741D6255">
      <w:pPr>
        <w:pStyle w:val="17"/>
        <w:spacing w:line="360" w:lineRule="auto"/>
        <w:ind w:left="0" w:leftChars="0" w:firstLine="0" w:firstLineChars="0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3、使用方法</w:t>
      </w:r>
    </w:p>
    <w:p w14:paraId="4F056085">
      <w:pPr>
        <w:pStyle w:val="17"/>
        <w:spacing w:line="360" w:lineRule="auto"/>
        <w:ind w:left="0" w:leftChars="0" w:firstLine="420" w:firstLineChars="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L298集成了两个桥式功率输出级</w:t>
      </w:r>
      <w:r>
        <w:rPr>
          <w:rFonts w:hint="eastAsia" w:ascii="Times New Roman" w:hAnsi="Times New Roman"/>
          <w:szCs w:val="24"/>
          <w:lang w:eastAsia="zh-CN"/>
        </w:rPr>
        <w:t>（</w:t>
      </w:r>
      <w:r>
        <w:rPr>
          <w:rFonts w:hint="eastAsia" w:ascii="Times New Roman" w:hAnsi="Times New Roman"/>
          <w:szCs w:val="24"/>
          <w:lang w:val="en-US" w:eastAsia="zh-CN"/>
        </w:rPr>
        <w:t>A和B）</w:t>
      </w:r>
      <w:r>
        <w:rPr>
          <w:rFonts w:hint="eastAsia" w:ascii="Times New Roman" w:hAnsi="Times New Roman"/>
          <w:szCs w:val="24"/>
        </w:rPr>
        <w:t>。每个桥通过以下输入进行配置：A桥</w:t>
      </w:r>
      <w:r>
        <w:rPr>
          <w:rFonts w:hint="eastAsia" w:ascii="Times New Roman" w:hAnsi="Times New Roman"/>
          <w:szCs w:val="24"/>
          <w:lang w:val="en-US" w:eastAsia="zh-CN"/>
        </w:rPr>
        <w:t>对应</w:t>
      </w:r>
      <w:r>
        <w:rPr>
          <w:rFonts w:hint="eastAsia" w:ascii="Times New Roman" w:hAnsi="Times New Roman"/>
          <w:szCs w:val="24"/>
        </w:rPr>
        <w:t>In1, In2和EnA；B桥</w:t>
      </w:r>
      <w:r>
        <w:rPr>
          <w:rFonts w:hint="eastAsia" w:ascii="Times New Roman" w:hAnsi="Times New Roman"/>
          <w:szCs w:val="24"/>
          <w:lang w:val="en-US" w:eastAsia="zh-CN"/>
        </w:rPr>
        <w:t>对应</w:t>
      </w:r>
      <w:r>
        <w:rPr>
          <w:rFonts w:hint="eastAsia" w:ascii="Times New Roman" w:hAnsi="Times New Roman"/>
          <w:szCs w:val="24"/>
        </w:rPr>
        <w:t>In3, In4和EnB。</w:t>
      </w:r>
    </w:p>
    <w:p w14:paraId="6A865509">
      <w:pPr>
        <w:pStyle w:val="17"/>
        <w:spacing w:line="360" w:lineRule="auto"/>
        <w:ind w:left="360" w:firstLine="48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En输入高电平时，由In输入设置桥式电路的状态。以</w:t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电桥为例，</w:t>
      </w:r>
      <w:r>
        <w:rPr>
          <w:rFonts w:ascii="Times New Roman" w:hAnsi="Times New Roman"/>
          <w:szCs w:val="24"/>
        </w:rPr>
        <w:t>I</w:t>
      </w:r>
      <w:r>
        <w:rPr>
          <w:rFonts w:hint="eastAsia" w:ascii="Times New Roman" w:hAnsi="Times New Roman"/>
          <w:szCs w:val="24"/>
        </w:rPr>
        <w:t>n3为高电平、In4为低电平时，下图中画红圈的两管导通；反之，</w:t>
      </w:r>
      <w:bookmarkStart w:id="0" w:name="OLE_LINK1"/>
      <w:r>
        <w:rPr>
          <w:rFonts w:ascii="Times New Roman" w:hAnsi="Times New Roman"/>
          <w:szCs w:val="24"/>
        </w:rPr>
        <w:t>I</w:t>
      </w:r>
      <w:r>
        <w:rPr>
          <w:rFonts w:hint="eastAsia" w:ascii="Times New Roman" w:hAnsi="Times New Roman"/>
          <w:szCs w:val="24"/>
        </w:rPr>
        <w:t>n3</w:t>
      </w:r>
      <w:bookmarkEnd w:id="0"/>
      <w:r>
        <w:rPr>
          <w:rFonts w:hint="eastAsia" w:ascii="Times New Roman" w:hAnsi="Times New Roman"/>
          <w:szCs w:val="24"/>
        </w:rPr>
        <w:t>为低电平、In4为高电平时，下图中画绿圈的两管导通。因此，当</w:t>
      </w:r>
      <w:r>
        <w:rPr>
          <w:rFonts w:ascii="Times New Roman" w:hAnsi="Times New Roman"/>
          <w:szCs w:val="24"/>
        </w:rPr>
        <w:t>I</w:t>
      </w:r>
      <w:r>
        <w:rPr>
          <w:rFonts w:hint="eastAsia" w:ascii="Times New Roman" w:hAnsi="Times New Roman"/>
          <w:szCs w:val="24"/>
        </w:rPr>
        <w:t>n3、In4交替为高低电平时，桥式电路交替于两个工作状态中，O</w:t>
      </w:r>
      <w:r>
        <w:rPr>
          <w:rFonts w:ascii="Times New Roman" w:hAnsi="Times New Roman"/>
          <w:szCs w:val="24"/>
        </w:rPr>
        <w:t>UT3</w:t>
      </w:r>
      <w:r>
        <w:rPr>
          <w:rFonts w:hint="eastAsia" w:ascii="Times New Roman" w:hAnsi="Times New Roman"/>
          <w:szCs w:val="24"/>
        </w:rPr>
        <w:t>和O</w:t>
      </w:r>
      <w:r>
        <w:rPr>
          <w:rFonts w:ascii="Times New Roman" w:hAnsi="Times New Roman"/>
          <w:szCs w:val="24"/>
        </w:rPr>
        <w:t>UT4</w:t>
      </w:r>
      <w:r>
        <w:rPr>
          <w:rFonts w:hint="eastAsia" w:ascii="Times New Roman" w:hAnsi="Times New Roman"/>
          <w:szCs w:val="24"/>
        </w:rPr>
        <w:t>分别交替于</w:t>
      </w:r>
      <w:r>
        <w:rPr>
          <w:rFonts w:ascii="Times New Roman" w:hAnsi="Times New Roman"/>
          <w:szCs w:val="24"/>
        </w:rPr>
        <w:t>VCC</w:t>
      </w:r>
      <w:r>
        <w:rPr>
          <w:rFonts w:hint="eastAsia" w:ascii="Times New Roman" w:hAnsi="Times New Roman"/>
          <w:szCs w:val="24"/>
        </w:rPr>
        <w:t>和G</w:t>
      </w:r>
      <w:r>
        <w:rPr>
          <w:rFonts w:ascii="Times New Roman" w:hAnsi="Times New Roman"/>
          <w:szCs w:val="24"/>
        </w:rPr>
        <w:t>ND</w:t>
      </w:r>
      <w:r>
        <w:rPr>
          <w:rFonts w:hint="eastAsia" w:ascii="Times New Roman" w:hAnsi="Times New Roman"/>
          <w:szCs w:val="24"/>
        </w:rPr>
        <w:t>、G</w:t>
      </w:r>
      <w:r>
        <w:rPr>
          <w:rFonts w:ascii="Times New Roman" w:hAnsi="Times New Roman"/>
          <w:szCs w:val="24"/>
        </w:rPr>
        <w:t>ND</w:t>
      </w:r>
      <w:r>
        <w:rPr>
          <w:rFonts w:hint="eastAsia" w:ascii="Times New Roman" w:hAnsi="Times New Roman"/>
          <w:szCs w:val="24"/>
        </w:rPr>
        <w:t>和</w:t>
      </w:r>
      <w:r>
        <w:rPr>
          <w:rFonts w:ascii="Times New Roman" w:hAnsi="Times New Roman"/>
          <w:szCs w:val="24"/>
        </w:rPr>
        <w:t>VCC</w:t>
      </w:r>
      <w:r>
        <w:rPr>
          <w:rFonts w:hint="eastAsia" w:ascii="Times New Roman" w:hAnsi="Times New Roman"/>
          <w:szCs w:val="24"/>
        </w:rPr>
        <w:t>。</w:t>
      </w:r>
    </w:p>
    <w:p w14:paraId="3EB65639">
      <w:pPr>
        <w:pStyle w:val="17"/>
        <w:spacing w:line="360" w:lineRule="auto"/>
        <w:ind w:left="360" w:firstLine="48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  <w:lang w:val="en-US" w:eastAsia="zh-CN"/>
        </w:rPr>
        <w:t>当</w:t>
      </w:r>
      <w:r>
        <w:rPr>
          <w:rFonts w:hint="eastAsia" w:ascii="Times New Roman" w:hAnsi="Times New Roman"/>
          <w:szCs w:val="24"/>
        </w:rPr>
        <w:t>En输入低电平时，对应的桥被封锁。</w:t>
      </w:r>
    </w:p>
    <w:p w14:paraId="6B6818CB">
      <w:pPr>
        <w:pStyle w:val="17"/>
        <w:spacing w:line="360" w:lineRule="auto"/>
        <w:ind w:left="360" w:firstLine="48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流过负载</w:t>
      </w:r>
      <w:r>
        <w:rPr>
          <w:rFonts w:hint="eastAsia" w:ascii="Times New Roman" w:hAnsi="Times New Roman"/>
          <w:szCs w:val="24"/>
          <w:lang w:eastAsia="zh-CN"/>
        </w:rPr>
        <w:t>（</w:t>
      </w:r>
      <w:r>
        <w:rPr>
          <w:rFonts w:hint="eastAsia" w:ascii="Times New Roman" w:hAnsi="Times New Roman"/>
          <w:szCs w:val="24"/>
          <w:lang w:val="en-US" w:eastAsia="zh-CN"/>
        </w:rPr>
        <w:t>直流电机）</w:t>
      </w:r>
      <w:r>
        <w:rPr>
          <w:rFonts w:hint="eastAsia" w:ascii="Times New Roman" w:hAnsi="Times New Roman"/>
          <w:szCs w:val="24"/>
        </w:rPr>
        <w:t>的电流通过测量输出端（1、15脚）流出，可在此输出端接上一个电阻</w:t>
      </w:r>
      <w:r>
        <w:rPr>
          <w:rFonts w:hint="eastAsia" w:ascii="Times New Roman" w:hAnsi="Times New Roman"/>
          <w:szCs w:val="24"/>
          <w:lang w:eastAsia="zh-CN"/>
        </w:rPr>
        <w:t>（</w:t>
      </w:r>
      <w:r>
        <w:rPr>
          <w:rFonts w:hint="eastAsia" w:ascii="Times New Roman" w:hAnsi="Times New Roman"/>
          <w:szCs w:val="24"/>
          <w:lang w:val="en-US" w:eastAsia="zh-CN"/>
        </w:rPr>
        <w:t>R</w:t>
      </w:r>
      <w:r>
        <w:rPr>
          <w:rFonts w:hint="eastAsia" w:ascii="Times New Roman" w:hAnsi="Times New Roman"/>
          <w:szCs w:val="24"/>
          <w:vertAlign w:val="subscript"/>
          <w:lang w:val="en-US" w:eastAsia="zh-CN"/>
        </w:rPr>
        <w:t>S</w:t>
      </w:r>
      <w:r>
        <w:rPr>
          <w:rFonts w:hint="eastAsia" w:ascii="Times New Roman" w:hAnsi="Times New Roman"/>
          <w:szCs w:val="24"/>
          <w:lang w:eastAsia="zh-CN"/>
        </w:rPr>
        <w:t>）</w:t>
      </w:r>
      <w:r>
        <w:rPr>
          <w:rFonts w:hint="eastAsia" w:ascii="Times New Roman" w:hAnsi="Times New Roman"/>
          <w:szCs w:val="24"/>
        </w:rPr>
        <w:t>，通过测量电阻上的电压来检测该电流的大小。此实验中电流测量由ACS712完成，故不需要此引脚，此引脚接地。</w:t>
      </w:r>
    </w:p>
    <w:p w14:paraId="5B8632D9">
      <w:pPr>
        <w:spacing w:before="156" w:beforeLines="50" w:after="156" w:afterLines="50" w:line="360" w:lineRule="auto"/>
        <w:ind w:left="420"/>
        <w:jc w:val="center"/>
      </w:pP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4130675</wp:posOffset>
                </wp:positionH>
                <wp:positionV relativeFrom="paragraph">
                  <wp:posOffset>1715770</wp:posOffset>
                </wp:positionV>
                <wp:extent cx="321945" cy="290195"/>
                <wp:effectExtent l="12700" t="12700" r="20955" b="14605"/>
                <wp:wrapNone/>
                <wp:docPr id="125628466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2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1" o:spid="_x0000_s1026" o:spt="3" type="#_x0000_t3" style="position:absolute;left:0pt;margin-left:325.25pt;margin-top:135.1pt;height:22.85pt;width:25.35pt;z-index:251662336;v-text-anchor:middle;mso-width-relative:page;mso-height-relative:page;" filled="f" stroked="t" coordsize="21600,21600" o:gfxdata="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ty2KtkAAAALAQAADwAAAAAAAAABACAAAAAiAAAAZHJzL2Rvd25yZXYueG1sUEsB&#10;AhQAFAAAAAgAh07iQFqbu3BmAgAAvgQAAA4AAAAAAAAAAQAgAAAAKAEAAGRycy9lMm9Eb2MueG1s&#10;UEsFBgAAAAAGAAYAWQEAAAAGAAAAAA==&#10;">
                <v:fill on="f" focussize="0,0"/>
                <v:stroke weight="2pt" color="#FF0000 [3209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1243965</wp:posOffset>
                </wp:positionV>
                <wp:extent cx="321945" cy="290195"/>
                <wp:effectExtent l="12700" t="12700" r="20955" b="14605"/>
                <wp:wrapNone/>
                <wp:docPr id="2147434908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2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1" o:spid="_x0000_s1026" o:spt="3" type="#_x0000_t3" style="position:absolute;left:0pt;margin-left:299.4pt;margin-top:97.95pt;height:22.85pt;width:25.35pt;z-index:251659264;v-text-anchor:middle;mso-width-relative:page;mso-height-relative:page;" filled="f" stroked="t" coordsize="21600,21600" o:gfxdata="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yKG5PZAAAACwEAAA8AAAAAAAAAAQAgAAAAIgAAAGRycy9kb3ducmV2LnhtbFBL&#10;AQIUABQAAAAIAIdO4kChLS9bZwIAAL8EAAAOAAAAAAAAAAEAIAAAACgBAABkcnMvZTJvRG9jLnht&#10;bFBLBQYAAAAABgAGAFkBAAABBgAAAAA=&#10;">
                <v:fill on="f" focussize="0,0"/>
                <v:stroke weight="2pt" color="#FF0000 [3209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4397375</wp:posOffset>
                </wp:positionH>
                <wp:positionV relativeFrom="paragraph">
                  <wp:posOffset>581660</wp:posOffset>
                </wp:positionV>
                <wp:extent cx="635" cy="698500"/>
                <wp:effectExtent l="57150" t="0" r="56515" b="0"/>
                <wp:wrapNone/>
                <wp:docPr id="59108095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698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flip:x;margin-left:346.25pt;margin-top:45.8pt;height:55pt;width:0.05pt;z-index:251665408;mso-width-relative:page;mso-height-relative:page;" filled="f" stroked="t" coordsize="21600,21600" o:gfxdata="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AVXvJ1wAAAAoBAAAPAAAAAAAAAAEAIAAA&#10;ACIAAABkcnMvZG93bnJldi54bWxQSwECFAAUAAAACACHTuJAvWoB5w0CAADeAwAADgAAAAAAAAAB&#10;ACAAAAAmAQAAZHJzL2Uyb0RvYy54bWxQSwUGAAAAAAYABgBZAQAApQUAAAAA&#10;">
                <v:fill on="f" focussize="0,0"/>
                <v:stroke weight="3pt" color="#00B050 [3205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4036695</wp:posOffset>
                </wp:positionH>
                <wp:positionV relativeFrom="paragraph">
                  <wp:posOffset>2016760</wp:posOffset>
                </wp:positionV>
                <wp:extent cx="24765" cy="708660"/>
                <wp:effectExtent l="36195" t="635" r="53340" b="1905"/>
                <wp:wrapNone/>
                <wp:docPr id="17919973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7086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margin-left:317.85pt;margin-top:158.8pt;height:55.8pt;width:1.95pt;z-index:251666432;mso-width-relative:page;mso-height-relative:page;" filled="f" stroked="t" coordsize="21600,21600" o:gfxdata="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yXkSjdAAAACwEAAA8AAAAAAAAAAQAg&#10;AAAAIgAAAGRycy9kb3ducmV2LnhtbFBLAQIUABQAAAAIAIdO4kA2FjlKCQIAANYDAAAOAAAAAAAA&#10;AAEAIAAAACwBAABkcnMvZTJvRG9jLnhtbFBLBQYAAAAABgAGAFkBAACnBQAAAAA=&#10;">
                <v:fill on="f" focussize="0,0"/>
                <v:stroke weight="3pt" color="#00B050 [3205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4188460</wp:posOffset>
                </wp:positionH>
                <wp:positionV relativeFrom="paragraph">
                  <wp:posOffset>1976755</wp:posOffset>
                </wp:positionV>
                <wp:extent cx="5080" cy="721360"/>
                <wp:effectExtent l="56515" t="0" r="52705" b="2540"/>
                <wp:wrapNone/>
                <wp:docPr id="270339765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7213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flip:x;margin-left:329.8pt;margin-top:155.65pt;height:56.8pt;width:0.4pt;z-index:251664384;mso-width-relative:page;mso-height-relative:page;" filled="f" stroked="t" coordsize="21600,21600" o:gfxdata="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WzZv82QAAAAsBAAAPAAAAAAAAAAEA&#10;IAAAACIAAABkcnMvZG93bnJldi54bWxQSwECFAAUAAAACACHTuJAleg8fw4CAADfAwAADgAAAAAA&#10;AAABACAAAAAoAQAAZHJzL2Uyb0RvYy54bWxQSwUGAAAAAAYABgBZAQAAqAUAAAAA&#10;">
                <v:fill on="f" focussize="0,0"/>
                <v:stroke weight="3pt" color="#FF0000 [3205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4144645</wp:posOffset>
                </wp:positionH>
                <wp:positionV relativeFrom="paragraph">
                  <wp:posOffset>1228725</wp:posOffset>
                </wp:positionV>
                <wp:extent cx="321945" cy="290195"/>
                <wp:effectExtent l="12700" t="12700" r="20955" b="14605"/>
                <wp:wrapNone/>
                <wp:docPr id="1963561102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2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1" o:spid="_x0000_s1026" o:spt="3" type="#_x0000_t3" style="position:absolute;left:0pt;margin-left:326.35pt;margin-top:96.75pt;height:22.85pt;width:25.35pt;z-index:251660288;v-text-anchor:middle;mso-width-relative:page;mso-height-relative:page;" filled="f" stroked="t" coordsize="21600,21600" o:gfxdata="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9XKL02QAAAAsBAAAPAAAAAAAAAAEAIAAAACIAAABkcnMvZG93bnJldi54bWxQ&#10;SwECFAAUAAAACACHTuJAE/CSd2gCAAC/BAAADgAAAAAAAAABACAAAAAoAQAAZHJzL2Uyb0RvYy54&#10;bWxQSwUGAAAAAAYABgBZAQAAAgYAAAAA&#10;">
                <v:fill on="f" focussize="0,0"/>
                <v:stroke weight="2pt" color="#00B050 [3209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3795395</wp:posOffset>
                </wp:positionH>
                <wp:positionV relativeFrom="paragraph">
                  <wp:posOffset>584835</wp:posOffset>
                </wp:positionV>
                <wp:extent cx="22860" cy="701675"/>
                <wp:effectExtent l="38100" t="635" r="53340" b="8890"/>
                <wp:wrapNone/>
                <wp:docPr id="265492765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016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margin-left:298.85pt;margin-top:46.05pt;height:55.25pt;width:1.8pt;z-index:251663360;mso-width-relative:page;mso-height-relative:page;" filled="f" stroked="t" coordsize="21600,21600" o:gfxdata="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q2qCrXAAAACgEAAA8AAAAAAAAAAQAgAAAAIgAAAGRy&#10;cy9kb3ducmV2LnhtbFBLAQIUABQAAAAIAIdO4kAUyTPaBgIAANYDAAAOAAAAAAAAAAEAIAAAACYB&#10;AABkcnMvZTJvRG9jLnhtbFBLBQYAAAAABgAGAFkBAACeBQAAAAA=&#10;">
                <v:fill on="f" focussize="0,0"/>
                <v:stroke weight="3pt" color="#FF0000 [3205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3809365</wp:posOffset>
                </wp:positionH>
                <wp:positionV relativeFrom="paragraph">
                  <wp:posOffset>1718310</wp:posOffset>
                </wp:positionV>
                <wp:extent cx="321945" cy="290195"/>
                <wp:effectExtent l="12700" t="12700" r="20955" b="14605"/>
                <wp:wrapNone/>
                <wp:docPr id="393279672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2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1" o:spid="_x0000_s1026" o:spt="3" type="#_x0000_t3" style="position:absolute;left:0pt;margin-left:299.95pt;margin-top:135.3pt;height:22.85pt;width:25.35pt;z-index:251661312;v-text-anchor:middle;mso-width-relative:page;mso-height-relative:page;" filled="f" stroked="t" coordsize="21600,21600" o:gfxdata="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PRZls7YAAAACwEAAA8AAAAAAAAAAQAgAAAAIgAAAGRycy9kb3ducmV2LnhtbFBL&#10;AQIUABQAAAAIAIdO4kBa9bK2aAIAAL4EAAAOAAAAAAAAAAEAIAAAACcBAABkcnMvZTJvRG9jLnht&#10;bFBLBQYAAAAABgAGAFkBAAABBgAAAAA=&#10;">
                <v:fill on="f" focussize="0,0"/>
                <v:stroke weight="2pt" color="#00B050 [3209]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39995" cy="334454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2563">
      <w:pPr>
        <w:pStyle w:val="17"/>
        <w:spacing w:line="360" w:lineRule="auto"/>
        <w:ind w:left="0" w:leftChars="0" w:firstLine="0" w:firstLineChars="0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4、可行性</w:t>
      </w:r>
    </w:p>
    <w:p w14:paraId="29B220D8">
      <w:pPr>
        <w:pStyle w:val="17"/>
        <w:numPr>
          <w:ilvl w:val="0"/>
          <w:numId w:val="0"/>
        </w:numPr>
        <w:spacing w:line="360" w:lineRule="auto"/>
        <w:ind w:leftChars="0" w:firstLine="42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从L298N本身的硬性指标和后续</w:t>
      </w:r>
      <w:r>
        <w:rPr>
          <w:rFonts w:hint="eastAsia" w:ascii="Times New Roman" w:hAnsi="Times New Roman"/>
          <w:lang w:val="en-US" w:eastAsia="zh-CN"/>
        </w:rPr>
        <w:t>的直流</w:t>
      </w:r>
      <w:r>
        <w:rPr>
          <w:rFonts w:ascii="Times New Roman" w:hAnsi="Times New Roman"/>
        </w:rPr>
        <w:t>电机对其信号的需求入手。</w:t>
      </w:r>
    </w:p>
    <w:p w14:paraId="2AF207A3">
      <w:pPr>
        <w:pStyle w:val="1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L298N的最大输出电压可达46V，我们所用电机的供电电压为24V，所以符合要求；</w:t>
      </w:r>
    </w:p>
    <w:p w14:paraId="5AE057D7">
      <w:pPr>
        <w:pStyle w:val="1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L</w:t>
      </w:r>
      <w:r>
        <w:rPr>
          <w:rFonts w:ascii="Times New Roman" w:hAnsi="Times New Roman"/>
        </w:rPr>
        <w:t>298N</w:t>
      </w:r>
      <w:r>
        <w:rPr>
          <w:rFonts w:hint="eastAsia" w:ascii="Times New Roman" w:hAnsi="Times New Roman"/>
        </w:rPr>
        <w:t>的供电电流最高可达3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  <w:lang w:eastAsia="zh-CN"/>
        </w:rPr>
        <w:t>，</w:t>
      </w:r>
      <w:r>
        <w:rPr>
          <w:rFonts w:hint="eastAsia" w:ascii="Times New Roman" w:hAnsi="Times New Roman"/>
        </w:rPr>
        <w:t>L</w:t>
      </w:r>
      <w:r>
        <w:rPr>
          <w:rFonts w:ascii="Times New Roman" w:hAnsi="Times New Roman"/>
        </w:rPr>
        <w:t>298N</w:t>
      </w:r>
      <w:r>
        <w:rPr>
          <w:rFonts w:hint="eastAsia" w:ascii="Times New Roman" w:hAnsi="Times New Roman"/>
        </w:rPr>
        <w:t>可以提供电机所需的电流。</w:t>
      </w:r>
    </w:p>
    <w:p w14:paraId="55C346A0">
      <w:pPr>
        <w:pStyle w:val="17"/>
        <w:numPr>
          <w:ilvl w:val="0"/>
          <w:numId w:val="3"/>
        </w:numPr>
        <w:spacing w:line="360" w:lineRule="auto"/>
        <w:ind w:firstLineChars="0"/>
        <w:rPr>
          <w:rFonts w:hint="default" w:ascii="Times New Roman" w:hAnsi="Times New Roman"/>
          <w:szCs w:val="24"/>
          <w:lang w:val="en-US" w:eastAsia="zh-CN"/>
        </w:rPr>
      </w:pPr>
      <w:r>
        <w:rPr>
          <w:rFonts w:ascii="Times New Roman" w:hAnsi="Times New Roman"/>
        </w:rPr>
        <w:t>L298N</w:t>
      </w:r>
      <w:r>
        <w:rPr>
          <w:rFonts w:hint="eastAsia" w:ascii="Times New Roman" w:hAnsi="Times New Roman"/>
        </w:rPr>
        <w:t>可提供的开关频率可达40kHz。我们使用T</w:t>
      </w:r>
      <w:r>
        <w:rPr>
          <w:rFonts w:ascii="Times New Roman" w:hAnsi="Times New Roman"/>
        </w:rPr>
        <w:t>L494</w:t>
      </w:r>
      <w:r>
        <w:rPr>
          <w:rFonts w:hint="eastAsia" w:ascii="Times New Roman" w:hAnsi="Times New Roman"/>
        </w:rPr>
        <w:t>生成的P</w:t>
      </w:r>
      <w:r>
        <w:rPr>
          <w:rFonts w:ascii="Times New Roman" w:hAnsi="Times New Roman"/>
        </w:rPr>
        <w:t>WM</w:t>
      </w:r>
      <w:r>
        <w:rPr>
          <w:rFonts w:hint="eastAsia" w:ascii="Times New Roman" w:hAnsi="Times New Roman"/>
        </w:rPr>
        <w:t>波频率为5—15kHz；另外，L</w:t>
      </w:r>
      <w:r>
        <w:rPr>
          <w:rFonts w:ascii="Times New Roman" w:hAnsi="Times New Roman"/>
        </w:rPr>
        <w:t>298N</w:t>
      </w:r>
      <w:r>
        <w:rPr>
          <w:rFonts w:hint="eastAsia" w:ascii="Times New Roman" w:hAnsi="Times New Roman"/>
        </w:rPr>
        <w:t>的逻辑高电平（典型值）为5</w:t>
      </w:r>
      <w:r>
        <w:rPr>
          <w:rFonts w:ascii="Times New Roman" w:hAnsi="Times New Roman"/>
        </w:rPr>
        <w:t>V</w:t>
      </w:r>
      <w:r>
        <w:rPr>
          <w:rFonts w:hint="eastAsia" w:ascii="Times New Roman" w:hAnsi="Times New Roman"/>
        </w:rPr>
        <w:t>，我们使用T</w:t>
      </w:r>
      <w:r>
        <w:rPr>
          <w:rFonts w:ascii="Times New Roman" w:hAnsi="Times New Roman"/>
        </w:rPr>
        <w:t>L494</w:t>
      </w:r>
      <w:r>
        <w:rPr>
          <w:rFonts w:hint="eastAsia" w:ascii="Times New Roman" w:hAnsi="Times New Roman"/>
        </w:rPr>
        <w:t>生成的P</w:t>
      </w:r>
      <w:r>
        <w:rPr>
          <w:rFonts w:ascii="Times New Roman" w:hAnsi="Times New Roman"/>
        </w:rPr>
        <w:t>WM</w:t>
      </w:r>
      <w:r>
        <w:rPr>
          <w:rFonts w:hint="eastAsia" w:ascii="Times New Roman" w:hAnsi="Times New Roman"/>
        </w:rPr>
        <w:t>波高电平也为5</w:t>
      </w:r>
      <w:r>
        <w:rPr>
          <w:rFonts w:ascii="Times New Roman" w:hAnsi="Times New Roman"/>
        </w:rPr>
        <w:t>V</w:t>
      </w:r>
      <w:r>
        <w:rPr>
          <w:rFonts w:hint="eastAsia" w:ascii="Times New Roman" w:hAnsi="Times New Roman"/>
        </w:rPr>
        <w:t>。所以L</w:t>
      </w:r>
      <w:r>
        <w:rPr>
          <w:rFonts w:ascii="Times New Roman" w:hAnsi="Times New Roman"/>
        </w:rPr>
        <w:t>298N</w:t>
      </w:r>
      <w:r>
        <w:rPr>
          <w:rFonts w:hint="eastAsia" w:ascii="Times New Roman" w:hAnsi="Times New Roman"/>
        </w:rPr>
        <w:t>可以接受T</w:t>
      </w:r>
      <w:r>
        <w:rPr>
          <w:rFonts w:ascii="Times New Roman" w:hAnsi="Times New Roman"/>
        </w:rPr>
        <w:t>L494</w:t>
      </w:r>
      <w:r>
        <w:rPr>
          <w:rFonts w:hint="eastAsia" w:ascii="Times New Roman" w:hAnsi="Times New Roman"/>
        </w:rPr>
        <w:t>生成的P</w:t>
      </w:r>
      <w:r>
        <w:rPr>
          <w:rFonts w:ascii="Times New Roman" w:hAnsi="Times New Roman"/>
        </w:rPr>
        <w:t>WM</w:t>
      </w:r>
      <w:r>
        <w:rPr>
          <w:rFonts w:hint="eastAsia" w:ascii="Times New Roman" w:hAnsi="Times New Roman"/>
        </w:rPr>
        <w:t>波信号。</w:t>
      </w:r>
    </w:p>
    <w:p w14:paraId="1FA5795D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给出L298芯片引脚接线图，标注周边电路的具体器件及其大小；</w:t>
      </w:r>
    </w:p>
    <w:p w14:paraId="246A14DA">
      <w:pPr>
        <w:spacing w:before="156" w:beforeLines="50" w:after="156" w:afterLines="50" w:line="360" w:lineRule="auto"/>
        <w:jc w:val="center"/>
        <w:rPr>
          <w:b/>
          <w:bCs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79725" cy="2255520"/>
            <wp:effectExtent l="0" t="0" r="3175" b="508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DABF8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利用现有软件（</w:t>
      </w:r>
      <w:r>
        <w:rPr>
          <w:b/>
          <w:bCs/>
          <w:sz w:val="24"/>
        </w:rPr>
        <w:t>Proteus</w:t>
      </w:r>
      <w:r>
        <w:rPr>
          <w:rFonts w:hint="eastAsia"/>
          <w:b/>
          <w:bCs/>
          <w:sz w:val="24"/>
        </w:rPr>
        <w:t>）对L298芯片及其周边电路仿真计算；</w:t>
      </w:r>
    </w:p>
    <w:p w14:paraId="0AFA1F23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仿真电路图如下：</w:t>
      </w:r>
    </w:p>
    <w:p w14:paraId="30D58108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center"/>
      </w:pPr>
      <w:r>
        <w:drawing>
          <wp:inline distT="0" distB="0" distL="114300" distR="114300">
            <wp:extent cx="4319905" cy="3251835"/>
            <wp:effectExtent l="0" t="0" r="1079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0619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仿真电路说明：图中C3、C4为滤波电容；通过脉冲波发生器模拟TL494的方波输出</w:t>
      </w:r>
    </w:p>
    <w:p w14:paraId="639C1E9D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5000Hz、80%占空比：</w:t>
      </w:r>
    </w:p>
    <w:p w14:paraId="1966A623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</w:pPr>
      <w:r>
        <w:drawing>
          <wp:inline distT="0" distB="0" distL="114300" distR="114300">
            <wp:extent cx="5760085" cy="3696970"/>
            <wp:effectExtent l="0" t="0" r="571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5343">
      <w:pPr>
        <w:spacing w:before="156" w:beforeLines="50" w:after="156" w:afterLines="50"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示波器图说明：A通道IN1，C通道OUT1；B通道IN2，D通道OUT2）</w:t>
      </w:r>
    </w:p>
    <w:p w14:paraId="1D252C4D">
      <w:pPr>
        <w:adjustRightInd w:val="0"/>
        <w:snapToGrid w:val="0"/>
        <w:spacing w:line="360" w:lineRule="auto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5000Hz、50%占空比：</w:t>
      </w:r>
    </w:p>
    <w:p w14:paraId="1EF93435">
      <w:pPr>
        <w:adjustRightInd w:val="0"/>
        <w:snapToGrid w:val="0"/>
        <w:spacing w:line="360" w:lineRule="auto"/>
        <w:jc w:val="left"/>
      </w:pPr>
      <w:r>
        <w:drawing>
          <wp:inline distT="0" distB="0" distL="114300" distR="114300">
            <wp:extent cx="5760085" cy="3697605"/>
            <wp:effectExtent l="0" t="0" r="571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6F57">
      <w:pPr>
        <w:adjustRightInd w:val="0"/>
        <w:snapToGrid w:val="0"/>
        <w:spacing w:line="360" w:lineRule="auto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5000Hz、20%占空比：</w:t>
      </w:r>
    </w:p>
    <w:p w14:paraId="15012F00">
      <w:pPr>
        <w:adjustRightInd w:val="0"/>
        <w:snapToGrid w:val="0"/>
        <w:spacing w:line="360" w:lineRule="auto"/>
        <w:jc w:val="left"/>
      </w:pPr>
      <w:r>
        <w:drawing>
          <wp:inline distT="0" distB="0" distL="114300" distR="114300">
            <wp:extent cx="5760085" cy="3696970"/>
            <wp:effectExtent l="0" t="0" r="571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FFA5">
      <w:pPr>
        <w:adjustRightInd w:val="0"/>
        <w:snapToGrid w:val="0"/>
        <w:spacing w:line="360" w:lineRule="auto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10kHz、20%占空比：</w:t>
      </w:r>
    </w:p>
    <w:p w14:paraId="5D67A693">
      <w:p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760085" cy="3696970"/>
            <wp:effectExtent l="0" t="0" r="571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4A01">
      <w:pPr>
        <w:adjustRightInd w:val="0"/>
        <w:snapToGrid w:val="0"/>
        <w:spacing w:line="360" w:lineRule="auto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15kHz、20%占空比：</w:t>
      </w:r>
    </w:p>
    <w:p w14:paraId="7FC6FD58">
      <w:pPr>
        <w:adjustRightInd w:val="0"/>
        <w:snapToGrid w:val="0"/>
        <w:spacing w:line="360" w:lineRule="auto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760085" cy="3696970"/>
            <wp:effectExtent l="0" t="0" r="571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7" w:h="16840"/>
      <w:pgMar w:top="1247" w:right="1253" w:bottom="936" w:left="144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2E0CBD">
    <w:pPr>
      <w:pStyle w:val="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81D1E1">
    <w:pPr>
      <w:pStyle w:val="5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2C8652">
    <w:pPr>
      <w:pStyle w:val="6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2A3675">
    <w:pPr>
      <w:pStyle w:val="6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79C595"/>
    <w:multiLevelType w:val="singleLevel"/>
    <w:tmpl w:val="C579C59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6146885"/>
    <w:multiLevelType w:val="multilevel"/>
    <w:tmpl w:val="0614688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651A6FC1"/>
    <w:multiLevelType w:val="multilevel"/>
    <w:tmpl w:val="651A6FC1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CCB"/>
    <w:rsid w:val="00010B69"/>
    <w:rsid w:val="00011B31"/>
    <w:rsid w:val="00012ACB"/>
    <w:rsid w:val="0001666E"/>
    <w:rsid w:val="000234F1"/>
    <w:rsid w:val="00025C74"/>
    <w:rsid w:val="00026B45"/>
    <w:rsid w:val="00032A48"/>
    <w:rsid w:val="000378F8"/>
    <w:rsid w:val="000459B8"/>
    <w:rsid w:val="000513E4"/>
    <w:rsid w:val="00053A70"/>
    <w:rsid w:val="00060289"/>
    <w:rsid w:val="000757D9"/>
    <w:rsid w:val="00085BFF"/>
    <w:rsid w:val="000935B4"/>
    <w:rsid w:val="000A1FE9"/>
    <w:rsid w:val="000C3172"/>
    <w:rsid w:val="000D3FE1"/>
    <w:rsid w:val="000D4E0E"/>
    <w:rsid w:val="000E2F99"/>
    <w:rsid w:val="000F3FCB"/>
    <w:rsid w:val="00117C4F"/>
    <w:rsid w:val="001425DE"/>
    <w:rsid w:val="001500C3"/>
    <w:rsid w:val="001563D8"/>
    <w:rsid w:val="0017206B"/>
    <w:rsid w:val="00181766"/>
    <w:rsid w:val="00181DE8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08CC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83288"/>
    <w:rsid w:val="0038539F"/>
    <w:rsid w:val="003873B7"/>
    <w:rsid w:val="003A44DE"/>
    <w:rsid w:val="003A6180"/>
    <w:rsid w:val="003A76B5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5D3F"/>
    <w:rsid w:val="00445FA3"/>
    <w:rsid w:val="004544B1"/>
    <w:rsid w:val="00456D25"/>
    <w:rsid w:val="004578FA"/>
    <w:rsid w:val="004700A0"/>
    <w:rsid w:val="004C0123"/>
    <w:rsid w:val="004C571D"/>
    <w:rsid w:val="004E2DAA"/>
    <w:rsid w:val="0050098D"/>
    <w:rsid w:val="00514B77"/>
    <w:rsid w:val="00526D1A"/>
    <w:rsid w:val="00530D23"/>
    <w:rsid w:val="005327EC"/>
    <w:rsid w:val="00546B0B"/>
    <w:rsid w:val="005479E0"/>
    <w:rsid w:val="005515A5"/>
    <w:rsid w:val="00557985"/>
    <w:rsid w:val="00563EE8"/>
    <w:rsid w:val="005B41C4"/>
    <w:rsid w:val="005B706E"/>
    <w:rsid w:val="005C066B"/>
    <w:rsid w:val="005C4DEF"/>
    <w:rsid w:val="005C5A16"/>
    <w:rsid w:val="005D136F"/>
    <w:rsid w:val="005E78CA"/>
    <w:rsid w:val="00635361"/>
    <w:rsid w:val="00645110"/>
    <w:rsid w:val="00653E08"/>
    <w:rsid w:val="00661328"/>
    <w:rsid w:val="00661AEA"/>
    <w:rsid w:val="006719CA"/>
    <w:rsid w:val="006A2654"/>
    <w:rsid w:val="006A653D"/>
    <w:rsid w:val="006B61EE"/>
    <w:rsid w:val="006C2163"/>
    <w:rsid w:val="006C3669"/>
    <w:rsid w:val="006C42F0"/>
    <w:rsid w:val="006C4A2D"/>
    <w:rsid w:val="006D1F33"/>
    <w:rsid w:val="006E3F5F"/>
    <w:rsid w:val="006E65F5"/>
    <w:rsid w:val="00700282"/>
    <w:rsid w:val="00712E26"/>
    <w:rsid w:val="0076051A"/>
    <w:rsid w:val="00762A35"/>
    <w:rsid w:val="00772255"/>
    <w:rsid w:val="00791089"/>
    <w:rsid w:val="00796561"/>
    <w:rsid w:val="007A28E5"/>
    <w:rsid w:val="007A38DF"/>
    <w:rsid w:val="007C12BF"/>
    <w:rsid w:val="007C6BDC"/>
    <w:rsid w:val="007D6ADF"/>
    <w:rsid w:val="007E08B7"/>
    <w:rsid w:val="007F293C"/>
    <w:rsid w:val="007F4E03"/>
    <w:rsid w:val="00802EF7"/>
    <w:rsid w:val="008321AC"/>
    <w:rsid w:val="008331ED"/>
    <w:rsid w:val="00841D3D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9009ED"/>
    <w:rsid w:val="00902D79"/>
    <w:rsid w:val="00907834"/>
    <w:rsid w:val="00913C05"/>
    <w:rsid w:val="00922E78"/>
    <w:rsid w:val="00943D82"/>
    <w:rsid w:val="00953FCB"/>
    <w:rsid w:val="00990DDB"/>
    <w:rsid w:val="009A528B"/>
    <w:rsid w:val="009A71DF"/>
    <w:rsid w:val="009B4784"/>
    <w:rsid w:val="009B4BE3"/>
    <w:rsid w:val="009B793A"/>
    <w:rsid w:val="009E3CF2"/>
    <w:rsid w:val="009F297C"/>
    <w:rsid w:val="009F5EF2"/>
    <w:rsid w:val="00A06BC7"/>
    <w:rsid w:val="00A141E9"/>
    <w:rsid w:val="00A23803"/>
    <w:rsid w:val="00A243C3"/>
    <w:rsid w:val="00A24A14"/>
    <w:rsid w:val="00A24C45"/>
    <w:rsid w:val="00A30FD6"/>
    <w:rsid w:val="00A43C32"/>
    <w:rsid w:val="00A5364A"/>
    <w:rsid w:val="00A70B7C"/>
    <w:rsid w:val="00A7374A"/>
    <w:rsid w:val="00A85D1E"/>
    <w:rsid w:val="00A86536"/>
    <w:rsid w:val="00A9051E"/>
    <w:rsid w:val="00AA433C"/>
    <w:rsid w:val="00AA5E88"/>
    <w:rsid w:val="00AB22DC"/>
    <w:rsid w:val="00AB6112"/>
    <w:rsid w:val="00AE1B7F"/>
    <w:rsid w:val="00AE6B0F"/>
    <w:rsid w:val="00B02414"/>
    <w:rsid w:val="00B4135A"/>
    <w:rsid w:val="00B53349"/>
    <w:rsid w:val="00B8035A"/>
    <w:rsid w:val="00B94716"/>
    <w:rsid w:val="00BA5386"/>
    <w:rsid w:val="00BB0451"/>
    <w:rsid w:val="00BB585A"/>
    <w:rsid w:val="00BB62C5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BF23B0"/>
    <w:rsid w:val="00C007A1"/>
    <w:rsid w:val="00C00A10"/>
    <w:rsid w:val="00C1227A"/>
    <w:rsid w:val="00C134CB"/>
    <w:rsid w:val="00C16B8F"/>
    <w:rsid w:val="00C50240"/>
    <w:rsid w:val="00C65652"/>
    <w:rsid w:val="00C80D90"/>
    <w:rsid w:val="00C82A7E"/>
    <w:rsid w:val="00CD253B"/>
    <w:rsid w:val="00CD3B06"/>
    <w:rsid w:val="00CD669B"/>
    <w:rsid w:val="00CF7B4D"/>
    <w:rsid w:val="00D00871"/>
    <w:rsid w:val="00D03DD2"/>
    <w:rsid w:val="00D10151"/>
    <w:rsid w:val="00D30711"/>
    <w:rsid w:val="00D51423"/>
    <w:rsid w:val="00D62249"/>
    <w:rsid w:val="00D665A1"/>
    <w:rsid w:val="00D80B99"/>
    <w:rsid w:val="00D86290"/>
    <w:rsid w:val="00D9097D"/>
    <w:rsid w:val="00D95F24"/>
    <w:rsid w:val="00DC1E0B"/>
    <w:rsid w:val="00DD0F78"/>
    <w:rsid w:val="00DE390A"/>
    <w:rsid w:val="00DF5F81"/>
    <w:rsid w:val="00E20D36"/>
    <w:rsid w:val="00E268BA"/>
    <w:rsid w:val="00E40DE4"/>
    <w:rsid w:val="00E45019"/>
    <w:rsid w:val="00E46425"/>
    <w:rsid w:val="00E47824"/>
    <w:rsid w:val="00E5692C"/>
    <w:rsid w:val="00E61214"/>
    <w:rsid w:val="00E61AD9"/>
    <w:rsid w:val="00E862D6"/>
    <w:rsid w:val="00E93BF6"/>
    <w:rsid w:val="00E93D6A"/>
    <w:rsid w:val="00E950EB"/>
    <w:rsid w:val="00EA5ED6"/>
    <w:rsid w:val="00EA7746"/>
    <w:rsid w:val="00EB73BC"/>
    <w:rsid w:val="00ED0C64"/>
    <w:rsid w:val="00EE27E3"/>
    <w:rsid w:val="00EE595F"/>
    <w:rsid w:val="00EF2E57"/>
    <w:rsid w:val="00EF797E"/>
    <w:rsid w:val="00F14063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D24F6"/>
    <w:rsid w:val="00FD412F"/>
    <w:rsid w:val="00FD6013"/>
    <w:rsid w:val="00FF68CB"/>
    <w:rsid w:val="00FF71C5"/>
    <w:rsid w:val="02377801"/>
    <w:rsid w:val="067C415F"/>
    <w:rsid w:val="0AED7922"/>
    <w:rsid w:val="0C1F4E62"/>
    <w:rsid w:val="0ECC35EE"/>
    <w:rsid w:val="0F9811B3"/>
    <w:rsid w:val="14635DCB"/>
    <w:rsid w:val="17F04282"/>
    <w:rsid w:val="18694035"/>
    <w:rsid w:val="25E81A23"/>
    <w:rsid w:val="26624DDF"/>
    <w:rsid w:val="282E41C6"/>
    <w:rsid w:val="28B54FA9"/>
    <w:rsid w:val="29E76B67"/>
    <w:rsid w:val="2A6C704A"/>
    <w:rsid w:val="2F527179"/>
    <w:rsid w:val="351C1D43"/>
    <w:rsid w:val="38693632"/>
    <w:rsid w:val="39475874"/>
    <w:rsid w:val="3CE55282"/>
    <w:rsid w:val="42D75573"/>
    <w:rsid w:val="43090AF7"/>
    <w:rsid w:val="457D6B5A"/>
    <w:rsid w:val="462C02CC"/>
    <w:rsid w:val="463A50D8"/>
    <w:rsid w:val="46D544C0"/>
    <w:rsid w:val="49663AF5"/>
    <w:rsid w:val="4CB17175"/>
    <w:rsid w:val="546E7D01"/>
    <w:rsid w:val="55A97243"/>
    <w:rsid w:val="5BA504AD"/>
    <w:rsid w:val="5BCE69EE"/>
    <w:rsid w:val="607870F9"/>
    <w:rsid w:val="631303F2"/>
    <w:rsid w:val="64E30FD6"/>
    <w:rsid w:val="69276457"/>
    <w:rsid w:val="6AC33F7B"/>
    <w:rsid w:val="6CB609E9"/>
    <w:rsid w:val="6CD52C06"/>
    <w:rsid w:val="6ECD3B4B"/>
    <w:rsid w:val="6F4025A1"/>
    <w:rsid w:val="70B401B5"/>
    <w:rsid w:val="75E44E88"/>
    <w:rsid w:val="7A392501"/>
    <w:rsid w:val="7B7470FC"/>
    <w:rsid w:val="7BF0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qFormat="1"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4"/>
    <w:qFormat/>
    <w:uiPriority w:val="0"/>
    <w:rPr>
      <w:rFonts w:ascii="宋体"/>
      <w:sz w:val="18"/>
      <w:szCs w:val="18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Balloon Text"/>
    <w:basedOn w:val="1"/>
    <w:link w:val="18"/>
    <w:qFormat/>
    <w:uiPriority w:val="0"/>
    <w:rPr>
      <w:sz w:val="18"/>
      <w:szCs w:val="18"/>
    </w:rPr>
  </w:style>
  <w:style w:type="paragraph" w:styleId="5">
    <w:name w:val="footer"/>
    <w:basedOn w:val="1"/>
    <w:link w:val="1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Title"/>
    <w:basedOn w:val="1"/>
    <w:next w:val="1"/>
    <w:link w:val="15"/>
    <w:qFormat/>
    <w:uiPriority w:val="10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paragraph" w:styleId="9">
    <w:name w:val="Body Text First Indent"/>
    <w:basedOn w:val="3"/>
    <w:qFormat/>
    <w:uiPriority w:val="0"/>
    <w:pPr>
      <w:spacing w:line="320" w:lineRule="atLeast"/>
      <w:ind w:firstLine="420"/>
    </w:pPr>
    <w:rPr>
      <w:szCs w:val="20"/>
    </w:rPr>
  </w:style>
  <w:style w:type="table" w:styleId="11">
    <w:name w:val="Table Grid"/>
    <w:basedOn w:val="10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customStyle="1" w:styleId="14">
    <w:name w:val="文档结构图 字符"/>
    <w:link w:val="2"/>
    <w:qFormat/>
    <w:uiPriority w:val="0"/>
    <w:rPr>
      <w:rFonts w:ascii="宋体"/>
      <w:kern w:val="2"/>
      <w:sz w:val="18"/>
      <w:szCs w:val="18"/>
    </w:rPr>
  </w:style>
  <w:style w:type="character" w:customStyle="1" w:styleId="15">
    <w:name w:val="标题 字符"/>
    <w:link w:val="8"/>
    <w:qFormat/>
    <w:uiPriority w:val="10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16">
    <w:name w:val="页脚 字符"/>
    <w:basedOn w:val="12"/>
    <w:link w:val="5"/>
    <w:qFormat/>
    <w:uiPriority w:val="99"/>
    <w:rPr>
      <w:kern w:val="2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rFonts w:ascii="宋体" w:hAnsi="华文中宋"/>
      <w:sz w:val="24"/>
      <w:szCs w:val="84"/>
    </w:rPr>
  </w:style>
  <w:style w:type="character" w:customStyle="1" w:styleId="18">
    <w:name w:val="批注框文本 字符"/>
    <w:basedOn w:val="12"/>
    <w:link w:val="4"/>
    <w:qFormat/>
    <w:uiPriority w:val="0"/>
    <w:rPr>
      <w:kern w:val="2"/>
      <w:sz w:val="18"/>
      <w:szCs w:val="18"/>
    </w:rPr>
  </w:style>
  <w:style w:type="paragraph" w:customStyle="1" w:styleId="19">
    <w:name w:val="正文慧创"/>
    <w:basedOn w:val="1"/>
    <w:link w:val="20"/>
    <w:autoRedefine/>
    <w:qFormat/>
    <w:uiPriority w:val="0"/>
    <w:pPr>
      <w:spacing w:before="156" w:beforeLines="50" w:after="156" w:afterLines="50" w:line="300" w:lineRule="auto"/>
      <w:ind w:firstLine="420" w:firstLineChars="200"/>
    </w:pPr>
    <w:rPr>
      <w:rFonts w:ascii="Arial" w:hAnsi="Arial" w:cstheme="minorBidi"/>
      <w:szCs w:val="21"/>
    </w:rPr>
  </w:style>
  <w:style w:type="character" w:customStyle="1" w:styleId="20">
    <w:name w:val="正文慧创 字符"/>
    <w:basedOn w:val="12"/>
    <w:link w:val="19"/>
    <w:qFormat/>
    <w:uiPriority w:val="0"/>
    <w:rPr>
      <w:rFonts w:ascii="Arial" w:hAnsi="Arial" w:cstheme="minorBidi"/>
      <w:kern w:val="2"/>
      <w:sz w:val="21"/>
      <w:szCs w:val="21"/>
    </w:rPr>
  </w:style>
  <w:style w:type="table" w:customStyle="1" w:styleId="21">
    <w:name w:val="无格式表格 31"/>
    <w:basedOn w:val="10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ChinaRen</Company>
  <Pages>8</Pages>
  <Words>2418</Words>
  <Characters>2954</Characters>
  <Lines>7</Lines>
  <Paragraphs>2</Paragraphs>
  <TotalTime>3</TotalTime>
  <ScaleCrop>false</ScaleCrop>
  <LinksUpToDate>false</LinksUpToDate>
  <CharactersWithSpaces>3172</CharactersWithSpaces>
  <Application>WPS Office_12.1.0.19768_F1E327BC-269C-435d-A152-05C5408002CA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2023-03-23T09:01:00Z</dcterms:created>
  <dc:creator>lihuipeng</dc:creator>
  <cp:lastModifiedBy>psp_dada</cp:lastModifiedBy>
  <cp:lastPrinted>2020-06-18T08:53:00Z</cp:lastPrinted>
  <dcterms:modified xsi:type="dcterms:W3CDTF">2025-01-13T07:35:43Z</dcterms:modified>
  <dc:title>机械学基础课程设计</dc:title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2052-12.1.0.19768</vt:lpwstr>
  </property>
  <property fmtid="{D5CDD505-2E9C-101B-9397-08002B2CF9AE}" pid="3" name="ICV">
    <vt:lpwstr>7D49DBB71CAE4C51A7AFC6509B231177_12</vt:lpwstr>
  </property>
</Properties>
</file>