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BA90B" w14:textId="6B7DB568" w:rsidR="00A86AFD" w:rsidRPr="00A86AFD" w:rsidRDefault="00A86AFD" w:rsidP="00A86AFD">
      <w:pPr>
        <w:jc w:val="left"/>
        <w:rPr>
          <w:rFonts w:ascii="Times New Roman" w:eastAsia="宋体" w:hAnsi="Times New Roman" w:cs="Times New Roman"/>
          <w:b/>
        </w:rPr>
      </w:pPr>
      <w:r>
        <w:rPr>
          <w:rFonts w:ascii="Times New Roman" w:eastAsia="宋体" w:hAnsi="Times New Roman" w:cs="Times New Roman" w:hint="eastAsia"/>
          <w:b/>
        </w:rPr>
        <w:t>1.</w:t>
      </w:r>
      <w:r w:rsidRPr="00A86AFD">
        <w:rPr>
          <w:rFonts w:ascii="Times New Roman" w:eastAsia="宋体" w:hAnsi="Times New Roman" w:cs="Times New Roman"/>
          <w:b/>
        </w:rPr>
        <w:t xml:space="preserve"> </w:t>
      </w:r>
      <w:r w:rsidRPr="00A86AFD">
        <w:rPr>
          <w:rFonts w:ascii="Times New Roman" w:eastAsia="宋体" w:hAnsi="Times New Roman" w:cs="Times New Roman"/>
          <w:b/>
        </w:rPr>
        <w:t>什么是增益饱和，均匀加宽工作物质的增益饱和与非均匀加宽工作物质的增益饱和的基本特征是什么？</w:t>
      </w:r>
    </w:p>
    <w:p w14:paraId="1E60CF8F" w14:textId="77777777" w:rsidR="00A86AFD" w:rsidRPr="00A86AFD" w:rsidRDefault="00A86AFD" w:rsidP="00A86AFD">
      <w:pPr>
        <w:ind w:leftChars="200" w:left="420" w:firstLineChars="200" w:firstLine="420"/>
        <w:jc w:val="left"/>
        <w:rPr>
          <w:rFonts w:ascii="Times New Roman" w:eastAsia="宋体" w:hAnsi="Times New Roman" w:cs="Times New Roman"/>
        </w:rPr>
      </w:pPr>
      <w:r w:rsidRPr="00A86AFD">
        <w:rPr>
          <w:rFonts w:ascii="Times New Roman" w:eastAsia="宋体" w:hAnsi="Times New Roman" w:cs="Times New Roman"/>
        </w:rPr>
        <w:t>答：增益饱和：由于受激辐射消耗激发态粒子，当入射光强达到一定程度后，增益系数随光强</w:t>
      </w:r>
      <w:r w:rsidRPr="00A86AFD">
        <w:rPr>
          <w:rFonts w:ascii="Times New Roman" w:eastAsia="宋体" w:hAnsi="Times New Roman" w:cs="Times New Roman"/>
        </w:rPr>
        <w:t>I</w:t>
      </w:r>
      <w:r w:rsidRPr="00A86AFD">
        <w:rPr>
          <w:rFonts w:ascii="Times New Roman" w:eastAsia="宋体" w:hAnsi="Times New Roman" w:cs="Times New Roman"/>
          <w:vertAlign w:val="subscript"/>
        </w:rPr>
        <w:t>v</w:t>
      </w:r>
      <w:r w:rsidRPr="00A86AFD">
        <w:rPr>
          <w:rFonts w:ascii="Times New Roman" w:eastAsia="宋体" w:hAnsi="Times New Roman" w:cs="Times New Roman"/>
          <w:vertAlign w:val="subscript"/>
        </w:rPr>
        <w:softHyphen/>
      </w:r>
      <w:r w:rsidRPr="00A86AFD">
        <w:rPr>
          <w:rFonts w:ascii="Times New Roman" w:eastAsia="宋体" w:hAnsi="Times New Roman" w:cs="Times New Roman"/>
        </w:rPr>
        <w:t>的增大而减小，称为增益饱和。均匀加宽物质特征：（</w:t>
      </w:r>
      <w:r w:rsidRPr="00A86AFD">
        <w:rPr>
          <w:rFonts w:ascii="Times New Roman" w:eastAsia="宋体" w:hAnsi="Times New Roman" w:cs="Times New Roman"/>
        </w:rPr>
        <w:t>1</w:t>
      </w:r>
      <w:r w:rsidRPr="00A86AFD">
        <w:rPr>
          <w:rFonts w:ascii="Times New Roman" w:eastAsia="宋体" w:hAnsi="Times New Roman" w:cs="Times New Roman"/>
        </w:rPr>
        <w:t>）小信号情况下，增益系数与入射光强无关，（</w:t>
      </w:r>
      <w:r w:rsidRPr="00A86AFD">
        <w:rPr>
          <w:rFonts w:ascii="Times New Roman" w:eastAsia="宋体" w:hAnsi="Times New Roman" w:cs="Times New Roman"/>
        </w:rPr>
        <w:t>2</w:t>
      </w:r>
      <w:r w:rsidRPr="00A86AFD">
        <w:rPr>
          <w:rFonts w:ascii="Times New Roman" w:eastAsia="宋体" w:hAnsi="Times New Roman" w:cs="Times New Roman"/>
        </w:rPr>
        <w:t>）对于相同入射光强，当入射光频率为中心频率时，饱和效应最强，偏离越远，饱和效应越弱，（</w:t>
      </w:r>
      <w:r w:rsidRPr="00A86AFD">
        <w:rPr>
          <w:rFonts w:ascii="Times New Roman" w:eastAsia="宋体" w:hAnsi="Times New Roman" w:cs="Times New Roman"/>
        </w:rPr>
        <w:t>3</w:t>
      </w:r>
      <w:r w:rsidRPr="00A86AFD">
        <w:rPr>
          <w:rFonts w:ascii="Times New Roman" w:eastAsia="宋体" w:hAnsi="Times New Roman" w:cs="Times New Roman"/>
        </w:rPr>
        <w:t>）强光入射不仅使自身增益系数下降，也使其他频率的弱光的增益系数也以同等程度下降。非均匀加宽增益饱和特征：（</w:t>
      </w:r>
      <w:r w:rsidRPr="00A86AFD">
        <w:rPr>
          <w:rFonts w:ascii="Times New Roman" w:eastAsia="宋体" w:hAnsi="Times New Roman" w:cs="Times New Roman"/>
        </w:rPr>
        <w:t>1</w:t>
      </w:r>
      <w:r w:rsidRPr="00A86AFD">
        <w:rPr>
          <w:rFonts w:ascii="Times New Roman" w:eastAsia="宋体" w:hAnsi="Times New Roman" w:cs="Times New Roman"/>
        </w:rPr>
        <w:t>）对非均匀加宽工作物质，频率为</w:t>
      </w:r>
      <w:r w:rsidRPr="00A86AFD">
        <w:rPr>
          <w:rFonts w:ascii="Times New Roman" w:eastAsia="宋体" w:hAnsi="Times New Roman" w:cs="Times New Roman"/>
        </w:rPr>
        <w:t>ν</w:t>
      </w:r>
      <w:r w:rsidRPr="00A86AFD">
        <w:rPr>
          <w:rFonts w:ascii="Times New Roman" w:eastAsia="宋体" w:hAnsi="Times New Roman" w:cs="Times New Roman"/>
          <w:vertAlign w:val="subscript"/>
        </w:rPr>
        <w:t>1</w:t>
      </w:r>
      <w:r w:rsidRPr="00A86AFD">
        <w:rPr>
          <w:rFonts w:ascii="Times New Roman" w:eastAsia="宋体" w:hAnsi="Times New Roman" w:cs="Times New Roman"/>
        </w:rPr>
        <w:t>的强光只引起表观中心频率在</w:t>
      </w:r>
      <w:r w:rsidRPr="00A86AFD">
        <w:rPr>
          <w:rFonts w:ascii="Times New Roman" w:eastAsia="宋体" w:hAnsi="Times New Roman" w:cs="Times New Roman"/>
        </w:rPr>
        <w:t>ν</w:t>
      </w:r>
      <w:r w:rsidRPr="00A86AFD">
        <w:rPr>
          <w:rFonts w:ascii="Times New Roman" w:eastAsia="宋体" w:hAnsi="Times New Roman" w:cs="Times New Roman"/>
          <w:vertAlign w:val="subscript"/>
        </w:rPr>
        <w:t>1</w:t>
      </w:r>
      <w:r w:rsidRPr="00A86AFD">
        <w:rPr>
          <w:rFonts w:ascii="Times New Roman" w:eastAsia="宋体" w:hAnsi="Times New Roman" w:cs="Times New Roman"/>
        </w:rPr>
        <w:t>附近的反转集居数饱和，因而在增益曲线上形成一个烧孔。（</w:t>
      </w:r>
      <w:r w:rsidRPr="00A86AFD">
        <w:rPr>
          <w:rFonts w:ascii="Times New Roman" w:eastAsia="宋体" w:hAnsi="Times New Roman" w:cs="Times New Roman"/>
        </w:rPr>
        <w:t>2</w:t>
      </w:r>
      <w:r w:rsidRPr="00A86AFD">
        <w:rPr>
          <w:rFonts w:ascii="Times New Roman" w:eastAsia="宋体" w:hAnsi="Times New Roman" w:cs="Times New Roman"/>
        </w:rPr>
        <w:t>）饱和的强弱与频率无关。</w:t>
      </w:r>
    </w:p>
    <w:p w14:paraId="03075C26" w14:textId="0B9F7340" w:rsidR="00A86AFD" w:rsidRPr="00A86AFD" w:rsidRDefault="00A86AFD" w:rsidP="00A86AFD">
      <w:pPr>
        <w:jc w:val="left"/>
        <w:rPr>
          <w:rFonts w:ascii="Times New Roman" w:eastAsia="宋体" w:hAnsi="Times New Roman" w:cs="Times New Roman"/>
          <w:b/>
        </w:rPr>
      </w:pPr>
      <w:r>
        <w:rPr>
          <w:rFonts w:ascii="Times New Roman" w:eastAsia="宋体" w:hAnsi="Times New Roman" w:cs="Times New Roman" w:hint="eastAsia"/>
          <w:b/>
        </w:rPr>
        <w:t>2.</w:t>
      </w:r>
      <w:r w:rsidRPr="00A86AFD">
        <w:rPr>
          <w:rFonts w:ascii="Times New Roman" w:eastAsia="宋体" w:hAnsi="Times New Roman" w:cs="Times New Roman"/>
          <w:b/>
        </w:rPr>
        <w:t xml:space="preserve"> </w:t>
      </w:r>
      <w:r w:rsidRPr="00A86AFD">
        <w:rPr>
          <w:rFonts w:ascii="Times New Roman" w:eastAsia="宋体" w:hAnsi="Times New Roman" w:cs="Times New Roman"/>
          <w:b/>
        </w:rPr>
        <w:t>请从物理实质上阐明：（</w:t>
      </w:r>
      <w:r w:rsidRPr="00A86AFD">
        <w:rPr>
          <w:rFonts w:ascii="Times New Roman" w:eastAsia="宋体" w:hAnsi="Times New Roman" w:cs="Times New Roman"/>
          <w:b/>
        </w:rPr>
        <w:t>1</w:t>
      </w:r>
      <w:r w:rsidRPr="00A86AFD">
        <w:rPr>
          <w:rFonts w:ascii="Times New Roman" w:eastAsia="宋体" w:hAnsi="Times New Roman" w:cs="Times New Roman"/>
          <w:b/>
        </w:rPr>
        <w:t>）在均匀加宽工作物质中，当入射光为中心频率时增益饱和效应最强，而频率偏离中心频率越大时报销效应越弱。（</w:t>
      </w:r>
      <w:r w:rsidRPr="00A86AFD">
        <w:rPr>
          <w:rFonts w:ascii="Times New Roman" w:eastAsia="宋体" w:hAnsi="Times New Roman" w:cs="Times New Roman"/>
          <w:b/>
        </w:rPr>
        <w:t>2</w:t>
      </w:r>
      <w:r w:rsidRPr="00A86AFD">
        <w:rPr>
          <w:rFonts w:ascii="Times New Roman" w:eastAsia="宋体" w:hAnsi="Times New Roman" w:cs="Times New Roman"/>
          <w:b/>
        </w:rPr>
        <w:t>）在非均匀加宽工作物质中，增益饱和效应的强弱和入射频率无关。</w:t>
      </w:r>
    </w:p>
    <w:p w14:paraId="4C66BDF3" w14:textId="77777777" w:rsidR="00A86AFD" w:rsidRPr="00A86AFD" w:rsidRDefault="00A86AFD" w:rsidP="00A86AFD">
      <w:pPr>
        <w:ind w:leftChars="200" w:left="420" w:firstLineChars="200" w:firstLine="420"/>
        <w:jc w:val="left"/>
        <w:rPr>
          <w:rFonts w:ascii="Times New Roman" w:eastAsia="宋体" w:hAnsi="Times New Roman" w:cs="Times New Roman"/>
        </w:rPr>
      </w:pPr>
      <w:r w:rsidRPr="00A86AFD">
        <w:rPr>
          <w:rFonts w:ascii="Times New Roman" w:eastAsia="宋体" w:hAnsi="Times New Roman" w:cs="Times New Roman"/>
        </w:rPr>
        <w:t>答：在均匀加宽工作物质中，受激辐射几率与光强成正比，当光强足够大时，强烈的受激辐射使反转粒子数减少，使得增益系数随光强的增大而减小，不同频率的光对反转粒子数密度的影响不同，中心频率处受激辐射几率最大，入射光造成的反转粒子数下降地最严重，频率偏离中心越远，饱和效应越弱。非均匀加宽工作物质中，增益曲线的不同频段由不同原子贡献，总的增益使各种表观中心频率的全部粒子对增益贡献的总和，所以饱和效应与频率无关。</w:t>
      </w:r>
    </w:p>
    <w:p w14:paraId="1C91EA33" w14:textId="486D764F" w:rsidR="00A86AFD" w:rsidRPr="00A86AFD" w:rsidRDefault="00A86AFD" w:rsidP="00A86AFD">
      <w:pPr>
        <w:jc w:val="left"/>
        <w:rPr>
          <w:rFonts w:ascii="Times New Roman" w:eastAsia="宋体" w:hAnsi="Times New Roman" w:cs="Times New Roman"/>
          <w:b/>
        </w:rPr>
      </w:pPr>
      <w:r>
        <w:rPr>
          <w:rFonts w:ascii="Times New Roman" w:eastAsia="宋体" w:hAnsi="Times New Roman" w:cs="Times New Roman" w:hint="eastAsia"/>
          <w:b/>
        </w:rPr>
        <w:t>3.</w:t>
      </w:r>
      <w:r w:rsidRPr="00A86AFD">
        <w:rPr>
          <w:rFonts w:ascii="Times New Roman" w:eastAsia="宋体" w:hAnsi="Times New Roman" w:cs="Times New Roman"/>
          <w:b/>
        </w:rPr>
        <w:t xml:space="preserve"> </w:t>
      </w:r>
      <w:r w:rsidRPr="00A86AFD">
        <w:rPr>
          <w:rFonts w:ascii="Times New Roman" w:eastAsia="宋体" w:hAnsi="Times New Roman" w:cs="Times New Roman"/>
          <w:b/>
        </w:rPr>
        <w:t>为什么阈值反转粒子数密度表达式与频率有关，而阈值增益与频率无关？</w:t>
      </w:r>
    </w:p>
    <w:p w14:paraId="24D2659E" w14:textId="77777777" w:rsidR="00A86AFD" w:rsidRPr="00A86AFD" w:rsidRDefault="00A86AFD" w:rsidP="00A86AFD">
      <w:pPr>
        <w:ind w:leftChars="200" w:left="420" w:firstLineChars="200" w:firstLine="420"/>
        <w:rPr>
          <w:rFonts w:ascii="Times New Roman" w:eastAsia="宋体" w:hAnsi="Times New Roman" w:cs="Times New Roman"/>
        </w:rPr>
      </w:pPr>
      <w:r w:rsidRPr="00A86AFD">
        <w:rPr>
          <w:rFonts w:ascii="Times New Roman" w:eastAsia="宋体" w:hAnsi="Times New Roman" w:cs="Times New Roman"/>
        </w:rPr>
        <w:t>答：如果谐振腔内工作物质的某能级处于集居数反转状态，则频率处在它的谱线宽度内的微弱信号会因增益而不断增强。由于谐振腔内存在各种损耗，又使光信号不断地衰减，由速率方程可以推导出激光器自激振荡的阈值条件为</w:t>
      </w:r>
    </w:p>
    <w:p w14:paraId="369135FE" w14:textId="77777777" w:rsidR="00A86AFD" w:rsidRPr="00A86AFD" w:rsidRDefault="00A86AFD" w:rsidP="00A86AFD">
      <w:pPr>
        <w:ind w:leftChars="200" w:left="420" w:firstLineChars="200" w:firstLine="420"/>
        <w:rPr>
          <w:rFonts w:ascii="Times New Roman" w:eastAsia="宋体" w:hAnsi="Times New Roman" w:cs="Times New Roman"/>
        </w:rPr>
      </w:pPr>
      <m:oMathPara>
        <m:oMath>
          <m:r>
            <m:rPr>
              <m:sty m:val="p"/>
            </m:rPr>
            <w:rPr>
              <w:rFonts w:ascii="Cambria Math" w:eastAsia="宋体" w:hAnsi="Cambria Math" w:cs="Times New Roman"/>
            </w:rPr>
            <m:t>Δ</m:t>
          </m:r>
          <m:sSup>
            <m:sSupPr>
              <m:ctrlPr>
                <w:rPr>
                  <w:rFonts w:ascii="Cambria Math" w:eastAsia="宋体" w:hAnsi="Cambria Math" w:cs="Times New Roman"/>
                </w:rPr>
              </m:ctrlPr>
            </m:sSupPr>
            <m:e>
              <m:r>
                <m:rPr>
                  <m:sty m:val="p"/>
                </m:rPr>
                <w:rPr>
                  <w:rFonts w:ascii="Cambria Math" w:eastAsia="宋体" w:hAnsi="Cambria Math" w:cs="Times New Roman"/>
                </w:rPr>
                <m:t>n</m:t>
              </m:r>
            </m:e>
            <m:sup>
              <m:r>
                <w:rPr>
                  <w:rFonts w:ascii="Cambria Math" w:eastAsia="宋体" w:hAnsi="Cambria Math" w:cs="Times New Roman"/>
                </w:rPr>
                <m:t>0</m:t>
              </m:r>
            </m:sup>
          </m:sSup>
          <m:r>
            <m:rPr>
              <m:sty m:val="p"/>
            </m:rPr>
            <w:rPr>
              <w:rFonts w:ascii="Cambria Math" w:eastAsia="宋体" w:hAnsi="Cambria Math" w:cs="Times New Roman"/>
            </w:rPr>
            <m:t>≥Δ</m:t>
          </m:r>
          <m:sSub>
            <m:sSubPr>
              <m:ctrlPr>
                <w:rPr>
                  <w:rFonts w:ascii="Cambria Math" w:eastAsia="宋体" w:hAnsi="Cambria Math" w:cs="Times New Roman"/>
                </w:rPr>
              </m:ctrlPr>
            </m:sSubPr>
            <m:e>
              <m:r>
                <m:rPr>
                  <m:sty m:val="p"/>
                </m:rPr>
                <w:rPr>
                  <w:rFonts w:ascii="Cambria Math" w:eastAsia="宋体" w:hAnsi="Cambria Math" w:cs="Times New Roman"/>
                </w:rPr>
                <m:t>n</m:t>
              </m:r>
            </m:e>
            <m:sub>
              <m:r>
                <w:rPr>
                  <w:rFonts w:ascii="Cambria Math" w:eastAsia="宋体" w:hAnsi="Cambria Math" w:cs="Times New Roman"/>
                </w:rPr>
                <m:t>t</m:t>
              </m:r>
            </m:sub>
          </m:sSub>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δ</m:t>
              </m:r>
            </m:num>
            <m:den>
              <m:sSub>
                <m:sSubPr>
                  <m:ctrlPr>
                    <w:rPr>
                      <w:rFonts w:ascii="Cambria Math" w:eastAsia="宋体" w:hAnsi="Cambria Math" w:cs="Times New Roman"/>
                      <w:i/>
                    </w:rPr>
                  </m:ctrlPr>
                </m:sSubPr>
                <m:e>
                  <m:r>
                    <w:rPr>
                      <w:rFonts w:ascii="Cambria Math" w:eastAsia="宋体" w:hAnsi="Cambria Math" w:cs="Times New Roman"/>
                    </w:rPr>
                    <m:t>σ</m:t>
                  </m:r>
                </m:e>
                <m:sub>
                  <m:r>
                    <w:rPr>
                      <w:rFonts w:ascii="Cambria Math" w:eastAsia="宋体" w:hAnsi="Cambria Math" w:cs="Times New Roman"/>
                    </w:rPr>
                    <m:t>21</m:t>
                  </m:r>
                </m:sub>
              </m:sSub>
              <m:r>
                <w:rPr>
                  <w:rFonts w:ascii="Cambria Math" w:eastAsia="宋体" w:hAnsi="Cambria Math" w:cs="Times New Roman"/>
                </w:rPr>
                <m:t>(υ,</m:t>
              </m:r>
              <m:sSub>
                <m:sSubPr>
                  <m:ctrlPr>
                    <w:rPr>
                      <w:rFonts w:ascii="Cambria Math" w:eastAsia="宋体" w:hAnsi="Cambria Math" w:cs="Times New Roman"/>
                      <w:i/>
                    </w:rPr>
                  </m:ctrlPr>
                </m:sSubPr>
                <m:e>
                  <m:r>
                    <w:rPr>
                      <w:rFonts w:ascii="Cambria Math" w:eastAsia="宋体" w:hAnsi="Cambria Math" w:cs="Times New Roman"/>
                    </w:rPr>
                    <m:t>υ</m:t>
                  </m:r>
                </m:e>
                <m:sub>
                  <m:r>
                    <w:rPr>
                      <w:rFonts w:ascii="Cambria Math" w:eastAsia="宋体" w:hAnsi="Cambria Math" w:cs="Times New Roman"/>
                    </w:rPr>
                    <m:t>0</m:t>
                  </m:r>
                </m:sub>
              </m:sSub>
              <m:r>
                <w:rPr>
                  <w:rFonts w:ascii="Cambria Math" w:eastAsia="宋体" w:hAnsi="Cambria Math" w:cs="Times New Roman"/>
                </w:rPr>
                <m:t>)l</m:t>
              </m:r>
            </m:den>
          </m:f>
        </m:oMath>
      </m:oMathPara>
    </w:p>
    <w:p w14:paraId="7BD111B5" w14:textId="77777777" w:rsidR="00A86AFD" w:rsidRPr="00A86AFD" w:rsidRDefault="00A86AFD" w:rsidP="00A86AFD">
      <w:pPr>
        <w:ind w:leftChars="200" w:left="420" w:firstLineChars="200" w:firstLine="420"/>
        <w:rPr>
          <w:rFonts w:ascii="Times New Roman" w:eastAsia="宋体" w:hAnsi="Times New Roman" w:cs="Times New Roman"/>
        </w:rPr>
      </w:pPr>
      <w:r w:rsidRPr="00A86AFD">
        <w:rPr>
          <w:rFonts w:ascii="Times New Roman" w:eastAsia="宋体" w:hAnsi="Times New Roman" w:cs="Times New Roman"/>
        </w:rPr>
        <w:t>不同模式具有不同的发射截面，阈值不同，频率为</w:t>
      </w:r>
      <w:r w:rsidRPr="00A86AFD">
        <w:rPr>
          <w:rFonts w:ascii="Times New Roman" w:eastAsia="宋体" w:hAnsi="Times New Roman" w:cs="Times New Roman"/>
        </w:rPr>
        <w:t>v</w:t>
      </w:r>
      <w:r w:rsidRPr="00A86AFD">
        <w:rPr>
          <w:rFonts w:ascii="Times New Roman" w:eastAsia="宋体" w:hAnsi="Times New Roman" w:cs="Times New Roman"/>
          <w:vertAlign w:val="subscript"/>
        </w:rPr>
        <w:t>0</w:t>
      </w:r>
      <w:r w:rsidRPr="00A86AFD">
        <w:rPr>
          <w:rFonts w:ascii="Times New Roman" w:eastAsia="宋体" w:hAnsi="Times New Roman" w:cs="Times New Roman"/>
        </w:rPr>
        <w:t>的模式的阈值最低</w:t>
      </w:r>
    </w:p>
    <w:p w14:paraId="1EA1550D" w14:textId="77777777" w:rsidR="00A86AFD" w:rsidRPr="00A86AFD" w:rsidRDefault="00A86AFD" w:rsidP="00A86AFD">
      <w:pPr>
        <w:ind w:leftChars="200" w:left="420" w:firstLineChars="200" w:firstLine="420"/>
        <w:rPr>
          <w:rFonts w:ascii="Times New Roman" w:eastAsia="宋体" w:hAnsi="Times New Roman" w:cs="Times New Roman"/>
        </w:rPr>
      </w:pPr>
      <m:oMathPara>
        <m:oMath>
          <m:r>
            <m:rPr>
              <m:sty m:val="p"/>
            </m:rPr>
            <w:rPr>
              <w:rFonts w:ascii="Cambria Math" w:eastAsia="宋体" w:hAnsi="Cambria Math" w:cs="Times New Roman"/>
            </w:rPr>
            <m:t>Δ</m:t>
          </m:r>
          <m:sSub>
            <m:sSubPr>
              <m:ctrlPr>
                <w:rPr>
                  <w:rFonts w:ascii="Cambria Math" w:eastAsia="宋体" w:hAnsi="Cambria Math" w:cs="Times New Roman"/>
                </w:rPr>
              </m:ctrlPr>
            </m:sSubPr>
            <m:e>
              <m:r>
                <w:rPr>
                  <w:rFonts w:ascii="Cambria Math" w:eastAsia="宋体" w:hAnsi="Cambria Math" w:cs="Times New Roman"/>
                </w:rPr>
                <m:t>n</m:t>
              </m:r>
            </m:e>
            <m:sub>
              <m:r>
                <w:rPr>
                  <w:rFonts w:ascii="Cambria Math" w:eastAsia="宋体" w:hAnsi="Cambria Math" w:cs="Times New Roman"/>
                </w:rPr>
                <m:t>t</m:t>
              </m:r>
            </m:sub>
          </m:sSub>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δ</m:t>
              </m:r>
            </m:num>
            <m:den>
              <m:sSub>
                <m:sSubPr>
                  <m:ctrlPr>
                    <w:rPr>
                      <w:rFonts w:ascii="Cambria Math" w:eastAsia="宋体" w:hAnsi="Cambria Math" w:cs="Times New Roman"/>
                      <w:i/>
                    </w:rPr>
                  </m:ctrlPr>
                </m:sSubPr>
                <m:e>
                  <m:r>
                    <w:rPr>
                      <w:rFonts w:ascii="Cambria Math" w:eastAsia="宋体" w:hAnsi="Cambria Math" w:cs="Times New Roman"/>
                    </w:rPr>
                    <m:t>σ</m:t>
                  </m:r>
                </m:e>
                <m:sub>
                  <m:r>
                    <w:rPr>
                      <w:rFonts w:ascii="Cambria Math" w:eastAsia="宋体" w:hAnsi="Cambria Math" w:cs="Times New Roman"/>
                    </w:rPr>
                    <m:t>21</m:t>
                  </m:r>
                </m:sub>
              </m:sSub>
              <m:r>
                <w:rPr>
                  <w:rFonts w:ascii="Cambria Math" w:eastAsia="宋体" w:hAnsi="Cambria Math" w:cs="Times New Roman"/>
                </w:rPr>
                <m:t>l</m:t>
              </m:r>
            </m:den>
          </m:f>
        </m:oMath>
      </m:oMathPara>
    </w:p>
    <w:p w14:paraId="2E4896C9" w14:textId="77777777" w:rsidR="00A86AFD" w:rsidRPr="00A86AFD" w:rsidRDefault="00A86AFD" w:rsidP="00A86AFD">
      <w:pPr>
        <w:ind w:leftChars="200" w:left="420" w:firstLineChars="200" w:firstLine="420"/>
        <w:rPr>
          <w:rFonts w:ascii="Times New Roman" w:eastAsia="宋体" w:hAnsi="Times New Roman" w:cs="Times New Roman"/>
        </w:rPr>
      </w:pPr>
      <w:r w:rsidRPr="00A86AFD">
        <w:rPr>
          <w:rFonts w:ascii="Times New Roman" w:eastAsia="宋体" w:hAnsi="Times New Roman" w:cs="Times New Roman"/>
        </w:rPr>
        <w:t>阈值增益系数</w:t>
      </w:r>
    </w:p>
    <w:p w14:paraId="31CD664D" w14:textId="77777777" w:rsidR="00A86AFD" w:rsidRPr="00A86AFD" w:rsidRDefault="00A86AFD" w:rsidP="00A86AFD">
      <w:pPr>
        <w:ind w:leftChars="200" w:left="420" w:firstLineChars="200" w:firstLine="420"/>
        <w:rPr>
          <w:rFonts w:ascii="Times New Roman" w:eastAsia="宋体" w:hAnsi="Times New Roman" w:cs="Times New Roman"/>
        </w:rPr>
      </w:pPr>
      <m:oMathPara>
        <m:oMath>
          <m:sSup>
            <m:sSupPr>
              <m:ctrlPr>
                <w:rPr>
                  <w:rFonts w:ascii="Cambria Math" w:eastAsia="宋体" w:hAnsi="Cambria Math" w:cs="Times New Roman"/>
                </w:rPr>
              </m:ctrlPr>
            </m:sSupPr>
            <m:e>
              <m:r>
                <w:rPr>
                  <w:rFonts w:ascii="Cambria Math" w:eastAsia="宋体" w:hAnsi="Cambria Math" w:cs="Times New Roman"/>
                </w:rPr>
                <m:t>g</m:t>
              </m:r>
            </m:e>
            <m:sup>
              <m:r>
                <w:rPr>
                  <w:rFonts w:ascii="Cambria Math" w:eastAsia="宋体" w:hAnsi="Cambria Math" w:cs="Times New Roman"/>
                </w:rPr>
                <m:t>0</m:t>
              </m:r>
            </m:sup>
          </m:sSup>
          <m:d>
            <m:dPr>
              <m:ctrlPr>
                <w:rPr>
                  <w:rFonts w:ascii="Cambria Math" w:eastAsia="宋体" w:hAnsi="Cambria Math" w:cs="Times New Roman"/>
                  <w:i/>
                </w:rPr>
              </m:ctrlPr>
            </m:dPr>
            <m:e>
              <m:r>
                <w:rPr>
                  <w:rFonts w:ascii="Cambria Math" w:eastAsia="宋体" w:hAnsi="Cambria Math" w:cs="Times New Roman"/>
                </w:rPr>
                <m:t>υ</m:t>
              </m:r>
            </m:e>
          </m:d>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g</m:t>
              </m:r>
            </m:e>
            <m:sub>
              <m:r>
                <w:rPr>
                  <w:rFonts w:ascii="Cambria Math" w:eastAsia="宋体" w:hAnsi="Cambria Math" w:cs="Times New Roman"/>
                </w:rPr>
                <m:t>t</m:t>
              </m:r>
            </m:sub>
          </m:sSub>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δ</m:t>
              </m:r>
            </m:num>
            <m:den>
              <m:r>
                <w:rPr>
                  <w:rFonts w:ascii="Cambria Math" w:eastAsia="宋体" w:hAnsi="Cambria Math" w:cs="Times New Roman"/>
                </w:rPr>
                <m:t>l</m:t>
              </m:r>
            </m:den>
          </m:f>
        </m:oMath>
      </m:oMathPara>
    </w:p>
    <w:p w14:paraId="2FDA642D" w14:textId="77777777" w:rsidR="00A86AFD" w:rsidRPr="00A86AFD" w:rsidRDefault="00A86AFD" w:rsidP="00A86AFD">
      <w:pPr>
        <w:ind w:leftChars="200" w:left="420" w:firstLineChars="200" w:firstLine="420"/>
        <w:rPr>
          <w:rFonts w:ascii="Times New Roman" w:eastAsia="宋体" w:hAnsi="Times New Roman" w:cs="Times New Roman"/>
        </w:rPr>
      </w:pPr>
      <w:r w:rsidRPr="00A86AFD">
        <w:rPr>
          <w:rFonts w:ascii="Times New Roman" w:eastAsia="宋体" w:hAnsi="Times New Roman" w:cs="Times New Roman"/>
        </w:rPr>
        <w:t>不同纵模有相同的</w:t>
      </w:r>
      <w:r w:rsidRPr="00A86AFD">
        <w:rPr>
          <w:rFonts w:ascii="Times New Roman" w:eastAsia="宋体" w:hAnsi="Times New Roman" w:cs="Times New Roman"/>
        </w:rPr>
        <w:t>δ</w:t>
      </w:r>
      <w:r w:rsidRPr="00A86AFD">
        <w:rPr>
          <w:rFonts w:ascii="Times New Roman" w:eastAsia="宋体" w:hAnsi="Times New Roman" w:cs="Times New Roman"/>
        </w:rPr>
        <w:t>，因而具有相同的阈值</w:t>
      </w:r>
      <w:r w:rsidRPr="00A86AFD">
        <w:rPr>
          <w:rFonts w:ascii="Times New Roman" w:eastAsia="宋体" w:hAnsi="Times New Roman" w:cs="Times New Roman"/>
        </w:rPr>
        <w:t>γ</w:t>
      </w:r>
      <w:r w:rsidRPr="00A86AFD">
        <w:rPr>
          <w:rFonts w:ascii="Times New Roman" w:eastAsia="宋体" w:hAnsi="Times New Roman" w:cs="Times New Roman"/>
          <w:vertAlign w:val="subscript"/>
        </w:rPr>
        <w:t>τ</w:t>
      </w:r>
      <w:r w:rsidRPr="00A86AFD">
        <w:rPr>
          <w:rFonts w:ascii="Times New Roman" w:eastAsia="宋体" w:hAnsi="Times New Roman" w:cs="Times New Roman"/>
        </w:rPr>
        <w:t>，不同横模具有不同的衍射损耗，因而有不同的阈值，高阶模的阈值比基模大，与频率无关。</w:t>
      </w:r>
    </w:p>
    <w:p w14:paraId="6841E1C5" w14:textId="77777777" w:rsidR="00A86AFD" w:rsidRPr="00A86AFD" w:rsidRDefault="00A86AFD" w:rsidP="00A86AFD">
      <w:pPr>
        <w:ind w:firstLineChars="200" w:firstLine="420"/>
        <w:jc w:val="left"/>
        <w:rPr>
          <w:rFonts w:ascii="Times New Roman" w:eastAsia="宋体" w:hAnsi="Times New Roman" w:cs="Times New Roman"/>
        </w:rPr>
      </w:pPr>
    </w:p>
    <w:p w14:paraId="427F3116" w14:textId="1D295116" w:rsidR="00A86AFD" w:rsidRPr="00A86AFD" w:rsidRDefault="00A86AFD" w:rsidP="00A86AFD">
      <w:pPr>
        <w:jc w:val="left"/>
        <w:rPr>
          <w:rFonts w:ascii="Times New Roman" w:eastAsia="宋体" w:hAnsi="Times New Roman" w:cs="Times New Roman"/>
          <w:b/>
        </w:rPr>
      </w:pPr>
      <w:r>
        <w:rPr>
          <w:rFonts w:ascii="Times New Roman" w:eastAsia="宋体" w:hAnsi="Times New Roman" w:cs="Times New Roman" w:hint="eastAsia"/>
          <w:b/>
        </w:rPr>
        <w:t>4.</w:t>
      </w:r>
      <w:r w:rsidRPr="00A86AFD">
        <w:rPr>
          <w:rFonts w:ascii="Times New Roman" w:eastAsia="宋体" w:hAnsi="Times New Roman" w:cs="Times New Roman"/>
          <w:b/>
        </w:rPr>
        <w:t xml:space="preserve"> </w:t>
      </w:r>
      <w:r w:rsidRPr="00A86AFD">
        <w:rPr>
          <w:rFonts w:ascii="Times New Roman" w:eastAsia="宋体" w:hAnsi="Times New Roman" w:cs="Times New Roman"/>
          <w:b/>
        </w:rPr>
        <w:t>三能级激光介质总粒子数密度为</w:t>
      </w:r>
      <w:r w:rsidRPr="00A86AFD">
        <w:rPr>
          <w:rFonts w:ascii="Times New Roman" w:eastAsia="宋体" w:hAnsi="Times New Roman" w:cs="Times New Roman"/>
          <w:b/>
        </w:rPr>
        <w:t>n=5*10</w:t>
      </w:r>
      <w:r w:rsidRPr="00A86AFD">
        <w:rPr>
          <w:rFonts w:ascii="Times New Roman" w:eastAsia="宋体" w:hAnsi="Times New Roman" w:cs="Times New Roman"/>
          <w:b/>
          <w:vertAlign w:val="superscript"/>
        </w:rPr>
        <w:t>13</w:t>
      </w:r>
      <w:r w:rsidRPr="00A86AFD">
        <w:rPr>
          <w:rFonts w:ascii="Times New Roman" w:eastAsia="宋体" w:hAnsi="Times New Roman" w:cs="Times New Roman"/>
          <w:b/>
        </w:rPr>
        <w:t xml:space="preserve"> m</w:t>
      </w:r>
      <w:r w:rsidRPr="00A86AFD">
        <w:rPr>
          <w:rFonts w:ascii="Times New Roman" w:eastAsia="宋体" w:hAnsi="Times New Roman" w:cs="Times New Roman"/>
          <w:b/>
          <w:vertAlign w:val="superscript"/>
        </w:rPr>
        <w:t>-3</w:t>
      </w:r>
      <w:r w:rsidRPr="00A86AFD">
        <w:rPr>
          <w:rFonts w:ascii="Times New Roman" w:eastAsia="宋体" w:hAnsi="Times New Roman" w:cs="Times New Roman"/>
          <w:b/>
        </w:rPr>
        <w:t>，发射截面</w:t>
      </w:r>
      <w:r w:rsidRPr="00A86AFD">
        <w:rPr>
          <w:rFonts w:ascii="Times New Roman" w:eastAsia="宋体" w:hAnsi="Times New Roman" w:cs="Times New Roman"/>
          <w:b/>
        </w:rPr>
        <w:t>σ</w:t>
      </w:r>
      <w:r w:rsidRPr="00A86AFD">
        <w:rPr>
          <w:rFonts w:ascii="Times New Roman" w:eastAsia="宋体" w:hAnsi="Times New Roman" w:cs="Times New Roman"/>
          <w:b/>
          <w:vertAlign w:val="subscript"/>
        </w:rPr>
        <w:t>21</w:t>
      </w:r>
      <w:r w:rsidRPr="00A86AFD">
        <w:rPr>
          <w:rFonts w:ascii="Times New Roman" w:eastAsia="宋体" w:hAnsi="Times New Roman" w:cs="Times New Roman"/>
          <w:b/>
        </w:rPr>
        <w:t>(υ</w:t>
      </w:r>
      <w:r w:rsidRPr="00A86AFD">
        <w:rPr>
          <w:rFonts w:ascii="Times New Roman" w:eastAsia="宋体" w:hAnsi="Times New Roman" w:cs="Times New Roman"/>
          <w:b/>
        </w:rPr>
        <w:t>，</w:t>
      </w:r>
      <w:r w:rsidRPr="00A86AFD">
        <w:rPr>
          <w:rFonts w:ascii="Times New Roman" w:eastAsia="宋体" w:hAnsi="Times New Roman" w:cs="Times New Roman"/>
          <w:b/>
        </w:rPr>
        <w:t>υ</w:t>
      </w:r>
      <w:r w:rsidRPr="00A86AFD">
        <w:rPr>
          <w:rFonts w:ascii="Times New Roman" w:eastAsia="宋体" w:hAnsi="Times New Roman" w:cs="Times New Roman"/>
          <w:b/>
          <w:vertAlign w:val="subscript"/>
        </w:rPr>
        <w:t>0</w:t>
      </w:r>
      <w:r w:rsidRPr="00A86AFD">
        <w:rPr>
          <w:rFonts w:ascii="Times New Roman" w:eastAsia="宋体" w:hAnsi="Times New Roman" w:cs="Times New Roman"/>
          <w:b/>
        </w:rPr>
        <w:t>)=2.5*10</w:t>
      </w:r>
      <w:r w:rsidRPr="00A86AFD">
        <w:rPr>
          <w:rFonts w:ascii="Times New Roman" w:eastAsia="宋体" w:hAnsi="Times New Roman" w:cs="Times New Roman"/>
          <w:b/>
          <w:vertAlign w:val="superscript"/>
        </w:rPr>
        <w:t>-14</w:t>
      </w:r>
      <w:r w:rsidRPr="00A86AFD">
        <w:rPr>
          <w:rFonts w:ascii="Times New Roman" w:eastAsia="宋体" w:hAnsi="Times New Roman" w:cs="Times New Roman"/>
          <w:b/>
        </w:rPr>
        <w:t xml:space="preserve"> m</w:t>
      </w:r>
      <w:r w:rsidRPr="00A86AFD">
        <w:rPr>
          <w:rFonts w:ascii="Times New Roman" w:eastAsia="宋体" w:hAnsi="Times New Roman" w:cs="Times New Roman"/>
          <w:b/>
          <w:vertAlign w:val="superscript"/>
        </w:rPr>
        <w:t>2</w:t>
      </w:r>
      <w:r w:rsidRPr="00A86AFD">
        <w:rPr>
          <w:rFonts w:ascii="Times New Roman" w:eastAsia="宋体" w:hAnsi="Times New Roman" w:cs="Times New Roman"/>
          <w:b/>
        </w:rPr>
        <w:t>，介质长</w:t>
      </w:r>
      <w:r w:rsidRPr="00A86AFD">
        <w:rPr>
          <w:rFonts w:ascii="Times New Roman" w:eastAsia="宋体" w:hAnsi="Times New Roman" w:cs="Times New Roman"/>
          <w:b/>
        </w:rPr>
        <w:t>I=20 cm</w:t>
      </w:r>
      <w:r w:rsidRPr="00A86AFD">
        <w:rPr>
          <w:rFonts w:ascii="Times New Roman" w:eastAsia="宋体" w:hAnsi="Times New Roman" w:cs="Times New Roman"/>
          <w:b/>
        </w:rPr>
        <w:t>，单程损耗率</w:t>
      </w:r>
      <w:r w:rsidRPr="00A86AFD">
        <w:rPr>
          <w:rFonts w:ascii="Times New Roman" w:eastAsia="宋体" w:hAnsi="Times New Roman" w:cs="Times New Roman"/>
          <w:b/>
        </w:rPr>
        <w:t>δ=0.01</w:t>
      </w:r>
      <w:r w:rsidRPr="00A86AFD">
        <w:rPr>
          <w:rFonts w:ascii="Times New Roman" w:eastAsia="宋体" w:hAnsi="Times New Roman" w:cs="Times New Roman"/>
          <w:b/>
        </w:rPr>
        <w:t>。求阈值增益系数</w:t>
      </w:r>
      <w:r w:rsidRPr="00A86AFD">
        <w:rPr>
          <w:rFonts w:ascii="Times New Roman" w:eastAsia="宋体" w:hAnsi="Times New Roman" w:cs="Times New Roman"/>
          <w:b/>
        </w:rPr>
        <w:t>g</w:t>
      </w:r>
      <w:r w:rsidRPr="00A86AFD">
        <w:rPr>
          <w:rFonts w:ascii="Times New Roman" w:eastAsia="宋体" w:hAnsi="Times New Roman" w:cs="Times New Roman"/>
          <w:b/>
          <w:vertAlign w:val="subscript"/>
        </w:rPr>
        <w:t>t</w:t>
      </w:r>
      <w:r w:rsidRPr="00A86AFD">
        <w:rPr>
          <w:rFonts w:ascii="Times New Roman" w:eastAsia="宋体" w:hAnsi="Times New Roman" w:cs="Times New Roman"/>
          <w:b/>
        </w:rPr>
        <w:t>，阈值反转粒子数密度</w:t>
      </w:r>
      <w:r w:rsidRPr="00A86AFD">
        <w:rPr>
          <w:rFonts w:ascii="Times New Roman" w:eastAsia="宋体" w:hAnsi="Times New Roman" w:cs="Times New Roman"/>
          <w:b/>
        </w:rPr>
        <w:t>Δn</w:t>
      </w:r>
      <w:r w:rsidRPr="00A86AFD">
        <w:rPr>
          <w:rFonts w:ascii="Times New Roman" w:eastAsia="宋体" w:hAnsi="Times New Roman" w:cs="Times New Roman"/>
          <w:b/>
          <w:vertAlign w:val="subscript"/>
        </w:rPr>
        <w:t>t</w:t>
      </w:r>
      <w:r w:rsidRPr="00A86AFD">
        <w:rPr>
          <w:rFonts w:ascii="Times New Roman" w:eastAsia="宋体" w:hAnsi="Times New Roman" w:cs="Times New Roman"/>
          <w:b/>
        </w:rPr>
        <w:t>和阈值上能级粒子数密度</w:t>
      </w:r>
      <w:r w:rsidRPr="00A86AFD">
        <w:rPr>
          <w:rFonts w:ascii="Times New Roman" w:eastAsia="宋体" w:hAnsi="Times New Roman" w:cs="Times New Roman"/>
          <w:b/>
        </w:rPr>
        <w:t>n</w:t>
      </w:r>
      <w:r w:rsidRPr="00A86AFD">
        <w:rPr>
          <w:rFonts w:ascii="Times New Roman" w:eastAsia="宋体" w:hAnsi="Times New Roman" w:cs="Times New Roman"/>
          <w:b/>
          <w:vertAlign w:val="subscript"/>
        </w:rPr>
        <w:t>2t</w:t>
      </w:r>
      <w:r w:rsidRPr="00A86AFD">
        <w:rPr>
          <w:rFonts w:ascii="Times New Roman" w:eastAsia="宋体" w:hAnsi="Times New Roman" w:cs="Times New Roman"/>
          <w:b/>
        </w:rPr>
        <w:t>（不考虑激光上能级寿命</w:t>
      </w:r>
      <w:r w:rsidRPr="00A86AFD">
        <w:rPr>
          <w:rFonts w:ascii="Times New Roman" w:eastAsia="宋体" w:hAnsi="Times New Roman" w:cs="Times New Roman"/>
          <w:b/>
        </w:rPr>
        <w:t>τ</w:t>
      </w:r>
      <w:r w:rsidRPr="00A86AFD">
        <w:rPr>
          <w:rFonts w:ascii="Times New Roman" w:eastAsia="宋体" w:hAnsi="Times New Roman" w:cs="Times New Roman"/>
          <w:b/>
          <w:vertAlign w:val="subscript"/>
        </w:rPr>
        <w:t>32</w:t>
      </w:r>
      <w:r w:rsidRPr="00A86AFD">
        <w:rPr>
          <w:rFonts w:ascii="Times New Roman" w:eastAsia="宋体" w:hAnsi="Times New Roman" w:cs="Times New Roman"/>
          <w:b/>
        </w:rPr>
        <w:t>）</w:t>
      </w:r>
    </w:p>
    <w:p w14:paraId="248AEFC3" w14:textId="77777777" w:rsidR="00A86AFD" w:rsidRPr="00A86AFD" w:rsidRDefault="00A86AFD" w:rsidP="00A86AFD">
      <w:pPr>
        <w:ind w:leftChars="200" w:left="420" w:firstLineChars="200" w:firstLine="420"/>
        <w:rPr>
          <w:rFonts w:ascii="Times New Roman" w:eastAsia="宋体" w:hAnsi="Times New Roman" w:cs="Times New Roman"/>
        </w:rPr>
      </w:pPr>
      <w:r w:rsidRPr="00A86AFD">
        <w:rPr>
          <w:rFonts w:ascii="Times New Roman" w:eastAsia="宋体" w:hAnsi="Times New Roman" w:cs="Times New Roman"/>
        </w:rPr>
        <w:t>解：</w:t>
      </w:r>
      <m:oMath>
        <m:r>
          <m:rPr>
            <m:sty m:val="p"/>
          </m:rPr>
          <w:rPr>
            <w:rFonts w:ascii="Cambria Math" w:eastAsia="宋体" w:hAnsi="Cambria Math" w:cs="Times New Roman"/>
          </w:rPr>
          <w:br/>
        </m:r>
      </m:oMath>
      <m:oMathPara>
        <m:oMath>
          <m:sSub>
            <m:sSubPr>
              <m:ctrlPr>
                <w:rPr>
                  <w:rFonts w:ascii="Cambria Math" w:eastAsia="宋体" w:hAnsi="Cambria Math" w:cs="Times New Roman"/>
                </w:rPr>
              </m:ctrlPr>
            </m:sSubPr>
            <m:e>
              <m:r>
                <w:rPr>
                  <w:rFonts w:ascii="Cambria Math" w:eastAsia="宋体" w:hAnsi="Cambria Math" w:cs="Times New Roman"/>
                </w:rPr>
                <m:t>g</m:t>
              </m:r>
            </m:e>
            <m:sub>
              <m:r>
                <w:rPr>
                  <w:rFonts w:ascii="Cambria Math" w:eastAsia="宋体" w:hAnsi="Cambria Math" w:cs="Times New Roman"/>
                </w:rPr>
                <m:t>t</m:t>
              </m:r>
            </m:sub>
          </m:sSub>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δ</m:t>
              </m:r>
            </m:num>
            <m:den>
              <m:r>
                <w:rPr>
                  <w:rFonts w:ascii="Cambria Math" w:eastAsia="宋体" w:hAnsi="Cambria Math" w:cs="Times New Roman"/>
                </w:rPr>
                <m:t>l</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0.01</m:t>
              </m:r>
            </m:num>
            <m:den>
              <m:r>
                <w:rPr>
                  <w:rFonts w:ascii="Cambria Math" w:eastAsia="宋体" w:hAnsi="Cambria Math" w:cs="Times New Roman"/>
                </w:rPr>
                <m:t>0.2</m:t>
              </m:r>
            </m:den>
          </m:f>
          <m:r>
            <m:rPr>
              <m:sty m:val="p"/>
            </m:rPr>
            <w:rPr>
              <w:rFonts w:ascii="Cambria Math" w:eastAsia="宋体" w:hAnsi="Cambria Math" w:cs="Times New Roman"/>
            </w:rPr>
            <m:t xml:space="preserve">=0.05 </m:t>
          </m:r>
          <m:sSup>
            <m:sSupPr>
              <m:ctrlPr>
                <w:rPr>
                  <w:rFonts w:ascii="Cambria Math" w:eastAsia="宋体" w:hAnsi="Cambria Math" w:cs="Times New Roman"/>
                </w:rPr>
              </m:ctrlPr>
            </m:sSupPr>
            <m:e>
              <m:r>
                <w:rPr>
                  <w:rFonts w:ascii="Cambria Math" w:eastAsia="宋体" w:hAnsi="Cambria Math" w:cs="Times New Roman"/>
                </w:rPr>
                <m:t>m</m:t>
              </m:r>
            </m:e>
            <m:sup>
              <m:r>
                <w:rPr>
                  <w:rFonts w:ascii="Cambria Math" w:eastAsia="宋体" w:hAnsi="Cambria Math" w:cs="Times New Roman"/>
                </w:rPr>
                <m:t>-1</m:t>
              </m:r>
            </m:sup>
          </m:sSup>
        </m:oMath>
      </m:oMathPara>
    </w:p>
    <w:p w14:paraId="011CCC5B" w14:textId="77777777" w:rsidR="00A86AFD" w:rsidRPr="00A86AFD" w:rsidRDefault="00A86AFD" w:rsidP="00A86AFD">
      <w:pPr>
        <w:ind w:leftChars="200" w:left="420" w:firstLineChars="200" w:firstLine="420"/>
        <w:rPr>
          <w:rFonts w:ascii="Times New Roman" w:eastAsia="宋体" w:hAnsi="Times New Roman" w:cs="Times New Roman"/>
        </w:rPr>
      </w:pPr>
      <m:oMathPara>
        <m:oMath>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n</m:t>
              </m:r>
            </m:e>
            <m:sub>
              <m:r>
                <w:rPr>
                  <w:rFonts w:ascii="Cambria Math" w:eastAsia="宋体" w:hAnsi="Cambria Math" w:cs="Times New Roman"/>
                </w:rPr>
                <m:t>t</m:t>
              </m:r>
            </m:sub>
          </m:sSub>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δ</m:t>
              </m:r>
            </m:num>
            <m:den>
              <m:sSub>
                <m:sSubPr>
                  <m:ctrlPr>
                    <w:rPr>
                      <w:rFonts w:ascii="Cambria Math" w:eastAsia="宋体" w:hAnsi="Cambria Math" w:cs="Times New Roman"/>
                      <w:i/>
                    </w:rPr>
                  </m:ctrlPr>
                </m:sSubPr>
                <m:e>
                  <m:r>
                    <w:rPr>
                      <w:rFonts w:ascii="Cambria Math" w:eastAsia="宋体" w:hAnsi="Cambria Math" w:cs="Times New Roman"/>
                    </w:rPr>
                    <m:t>σ</m:t>
                  </m:r>
                </m:e>
                <m:sub>
                  <m:r>
                    <w:rPr>
                      <w:rFonts w:ascii="Cambria Math" w:eastAsia="宋体" w:hAnsi="Cambria Math" w:cs="Times New Roman"/>
                    </w:rPr>
                    <m:t>21</m:t>
                  </m:r>
                </m:sub>
              </m:sSub>
              <m:r>
                <w:rPr>
                  <w:rFonts w:ascii="Cambria Math" w:eastAsia="宋体" w:hAnsi="Cambria Math" w:cs="Times New Roman"/>
                </w:rPr>
                <m:t>l</m:t>
              </m:r>
            </m:den>
          </m:f>
          <m:r>
            <w:rPr>
              <w:rFonts w:ascii="Cambria Math" w:eastAsia="宋体" w:hAnsi="Cambria Math" w:cs="Times New Roman"/>
            </w:rPr>
            <m:t>=2×</m:t>
          </m:r>
          <m:sSup>
            <m:sSupPr>
              <m:ctrlPr>
                <w:rPr>
                  <w:rFonts w:ascii="Cambria Math" w:eastAsia="宋体" w:hAnsi="Cambria Math" w:cs="Times New Roman"/>
                  <w:i/>
                </w:rPr>
              </m:ctrlPr>
            </m:sSupPr>
            <m:e>
              <m:r>
                <w:rPr>
                  <w:rFonts w:ascii="Cambria Math" w:eastAsia="宋体" w:hAnsi="Cambria Math" w:cs="Times New Roman"/>
                </w:rPr>
                <m:t>10</m:t>
              </m:r>
            </m:e>
            <m:sup>
              <m:r>
                <w:rPr>
                  <w:rFonts w:ascii="Cambria Math" w:eastAsia="宋体" w:hAnsi="Cambria Math" w:cs="Times New Roman"/>
                </w:rPr>
                <m:t>12</m:t>
              </m:r>
            </m:sup>
          </m:sSup>
          <m:sSup>
            <m:sSupPr>
              <m:ctrlPr>
                <w:rPr>
                  <w:rFonts w:ascii="Cambria Math" w:eastAsia="宋体" w:hAnsi="Cambria Math" w:cs="Times New Roman"/>
                  <w:i/>
                </w:rPr>
              </m:ctrlPr>
            </m:sSupPr>
            <m:e>
              <m:r>
                <w:rPr>
                  <w:rFonts w:ascii="Cambria Math" w:eastAsia="宋体" w:hAnsi="Cambria Math" w:cs="Times New Roman"/>
                </w:rPr>
                <m:t>m</m:t>
              </m:r>
            </m:e>
            <m:sup>
              <m:r>
                <w:rPr>
                  <w:rFonts w:ascii="Cambria Math" w:eastAsia="宋体" w:hAnsi="Cambria Math" w:cs="Times New Roman"/>
                </w:rPr>
                <m:t>-3</m:t>
              </m:r>
            </m:sup>
          </m:sSup>
        </m:oMath>
      </m:oMathPara>
    </w:p>
    <w:p w14:paraId="48D88198" w14:textId="77777777" w:rsidR="00A86AFD" w:rsidRPr="00A86AFD" w:rsidRDefault="00A86AFD" w:rsidP="00A86AFD">
      <w:pPr>
        <w:ind w:leftChars="200" w:left="420" w:firstLineChars="200" w:firstLine="420"/>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n</m:t>
              </m:r>
            </m:e>
            <m:sub>
              <m:r>
                <w:rPr>
                  <w:rFonts w:ascii="Cambria Math" w:eastAsia="宋体" w:hAnsi="Cambria Math" w:cs="Times New Roman"/>
                </w:rPr>
                <m:t>2t</m:t>
              </m:r>
            </m:sub>
          </m:sSub>
          <m:r>
            <w:rPr>
              <w:rFonts w:ascii="Cambria Math" w:eastAsia="宋体" w:hAnsi="Cambria Math" w:cs="Times New Roman"/>
            </w:rPr>
            <m:t>=</m:t>
          </m:r>
          <m:f>
            <m:fPr>
              <m:ctrlPr>
                <w:rPr>
                  <w:rFonts w:ascii="Cambria Math" w:eastAsia="宋体" w:hAnsi="Cambria Math" w:cs="Times New Roman"/>
                  <w:i/>
                </w:rPr>
              </m:ctrlPr>
            </m:fPr>
            <m:num>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rPr>
                        <m:t>f</m:t>
                      </m:r>
                    </m:e>
                    <m:sub>
                      <m:r>
                        <w:rPr>
                          <w:rFonts w:ascii="Cambria Math" w:eastAsia="宋体" w:hAnsi="Cambria Math" w:cs="Times New Roman"/>
                        </w:rPr>
                        <m:t>2</m:t>
                      </m:r>
                    </m:sub>
                  </m:sSub>
                </m:num>
                <m:den>
                  <m:sSub>
                    <m:sSubPr>
                      <m:ctrlPr>
                        <w:rPr>
                          <w:rFonts w:ascii="Cambria Math" w:eastAsia="宋体" w:hAnsi="Cambria Math" w:cs="Times New Roman"/>
                          <w:i/>
                        </w:rPr>
                      </m:ctrlPr>
                    </m:sSubPr>
                    <m:e>
                      <m:r>
                        <w:rPr>
                          <w:rFonts w:ascii="Cambria Math" w:eastAsia="宋体" w:hAnsi="Cambria Math" w:cs="Times New Roman"/>
                        </w:rPr>
                        <m:t>f</m:t>
                      </m:r>
                    </m:e>
                    <m:sub>
                      <m:r>
                        <w:rPr>
                          <w:rFonts w:ascii="Cambria Math" w:eastAsia="宋体" w:hAnsi="Cambria Math" w:cs="Times New Roman"/>
                        </w:rPr>
                        <m:t>1</m:t>
                      </m:r>
                    </m:sub>
                  </m:sSub>
                </m:den>
              </m:f>
              <m:r>
                <w:rPr>
                  <w:rFonts w:ascii="Cambria Math" w:eastAsia="宋体" w:hAnsi="Cambria Math" w:cs="Times New Roman"/>
                </w:rPr>
                <m:t>n+∆</m:t>
              </m:r>
              <m:sSub>
                <m:sSubPr>
                  <m:ctrlPr>
                    <w:rPr>
                      <w:rFonts w:ascii="Cambria Math" w:eastAsia="宋体" w:hAnsi="Cambria Math" w:cs="Times New Roman"/>
                      <w:i/>
                    </w:rPr>
                  </m:ctrlPr>
                </m:sSubPr>
                <m:e>
                  <m:r>
                    <w:rPr>
                      <w:rFonts w:ascii="Cambria Math" w:eastAsia="宋体" w:hAnsi="Cambria Math" w:cs="Times New Roman"/>
                    </w:rPr>
                    <m:t>n</m:t>
                  </m:r>
                </m:e>
                <m:sub>
                  <m:r>
                    <w:rPr>
                      <w:rFonts w:ascii="Cambria Math" w:eastAsia="宋体" w:hAnsi="Cambria Math" w:cs="Times New Roman"/>
                    </w:rPr>
                    <m:t>t</m:t>
                  </m:r>
                </m:sub>
              </m:sSub>
            </m:num>
            <m:den>
              <m:r>
                <w:rPr>
                  <w:rFonts w:ascii="Cambria Math" w:eastAsia="宋体" w:hAnsi="Cambria Math" w:cs="Times New Roman"/>
                </w:rPr>
                <m:t>1+</m:t>
              </m:r>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rPr>
                        <m:t>f</m:t>
                      </m:r>
                    </m:e>
                    <m:sub>
                      <m:r>
                        <w:rPr>
                          <w:rFonts w:ascii="Cambria Math" w:eastAsia="宋体" w:hAnsi="Cambria Math" w:cs="Times New Roman"/>
                        </w:rPr>
                        <m:t>2</m:t>
                      </m:r>
                    </m:sub>
                  </m:sSub>
                </m:num>
                <m:den>
                  <m:sSub>
                    <m:sSubPr>
                      <m:ctrlPr>
                        <w:rPr>
                          <w:rFonts w:ascii="Cambria Math" w:eastAsia="宋体" w:hAnsi="Cambria Math" w:cs="Times New Roman"/>
                          <w:i/>
                        </w:rPr>
                      </m:ctrlPr>
                    </m:sSubPr>
                    <m:e>
                      <m:r>
                        <w:rPr>
                          <w:rFonts w:ascii="Cambria Math" w:eastAsia="宋体" w:hAnsi="Cambria Math" w:cs="Times New Roman"/>
                        </w:rPr>
                        <m:t>f</m:t>
                      </m:r>
                    </m:e>
                    <m:sub>
                      <m:r>
                        <w:rPr>
                          <w:rFonts w:ascii="Cambria Math" w:eastAsia="宋体" w:hAnsi="Cambria Math" w:cs="Times New Roman"/>
                        </w:rPr>
                        <m:t>1</m:t>
                      </m:r>
                    </m:sub>
                  </m:sSub>
                </m:den>
              </m:f>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r>
                <w:rPr>
                  <w:rFonts w:ascii="Cambria Math" w:eastAsia="宋体" w:hAnsi="Cambria Math" w:cs="Times New Roman"/>
                </w:rPr>
                <m:t>n+∆</m:t>
              </m:r>
              <m:sSub>
                <m:sSubPr>
                  <m:ctrlPr>
                    <w:rPr>
                      <w:rFonts w:ascii="Cambria Math" w:eastAsia="宋体" w:hAnsi="Cambria Math" w:cs="Times New Roman"/>
                      <w:i/>
                    </w:rPr>
                  </m:ctrlPr>
                </m:sSubPr>
                <m:e>
                  <m:r>
                    <w:rPr>
                      <w:rFonts w:ascii="Cambria Math" w:eastAsia="宋体" w:hAnsi="Cambria Math" w:cs="Times New Roman"/>
                    </w:rPr>
                    <m:t>n</m:t>
                  </m:r>
                </m:e>
                <m:sub>
                  <m:r>
                    <w:rPr>
                      <w:rFonts w:ascii="Cambria Math" w:eastAsia="宋体" w:hAnsi="Cambria Math" w:cs="Times New Roman"/>
                    </w:rPr>
                    <m:t>t</m:t>
                  </m:r>
                </m:sub>
              </m:sSub>
            </m:e>
          </m:d>
          <m:r>
            <w:rPr>
              <w:rFonts w:ascii="Cambria Math" w:eastAsia="宋体" w:hAnsi="Cambria Math" w:cs="Times New Roman"/>
            </w:rPr>
            <m:t>=2.6×</m:t>
          </m:r>
          <m:sSup>
            <m:sSupPr>
              <m:ctrlPr>
                <w:rPr>
                  <w:rFonts w:ascii="Cambria Math" w:eastAsia="宋体" w:hAnsi="Cambria Math" w:cs="Times New Roman"/>
                  <w:i/>
                </w:rPr>
              </m:ctrlPr>
            </m:sSupPr>
            <m:e>
              <m:r>
                <w:rPr>
                  <w:rFonts w:ascii="Cambria Math" w:eastAsia="宋体" w:hAnsi="Cambria Math" w:cs="Times New Roman"/>
                </w:rPr>
                <m:t>10</m:t>
              </m:r>
            </m:e>
            <m:sup>
              <m:r>
                <w:rPr>
                  <w:rFonts w:ascii="Cambria Math" w:eastAsia="宋体" w:hAnsi="Cambria Math" w:cs="Times New Roman"/>
                </w:rPr>
                <m:t>13</m:t>
              </m:r>
            </m:sup>
          </m:sSup>
          <m:r>
            <w:rPr>
              <w:rFonts w:ascii="Cambria Math" w:eastAsia="宋体" w:hAnsi="Cambria Math" w:cs="Times New Roman"/>
            </w:rPr>
            <m:t xml:space="preserve"> </m:t>
          </m:r>
          <m:sSup>
            <m:sSupPr>
              <m:ctrlPr>
                <w:rPr>
                  <w:rFonts w:ascii="Cambria Math" w:eastAsia="宋体" w:hAnsi="Cambria Math" w:cs="Times New Roman"/>
                  <w:i/>
                </w:rPr>
              </m:ctrlPr>
            </m:sSupPr>
            <m:e>
              <m:r>
                <w:rPr>
                  <w:rFonts w:ascii="Cambria Math" w:eastAsia="宋体" w:hAnsi="Cambria Math" w:cs="Times New Roman"/>
                </w:rPr>
                <m:t>m</m:t>
              </m:r>
            </m:e>
            <m:sup>
              <m:r>
                <w:rPr>
                  <w:rFonts w:ascii="Cambria Math" w:eastAsia="宋体" w:hAnsi="Cambria Math" w:cs="Times New Roman"/>
                </w:rPr>
                <m:t>-3</m:t>
              </m:r>
            </m:sup>
          </m:sSup>
        </m:oMath>
      </m:oMathPara>
    </w:p>
    <w:sectPr w:rsidR="00A86AFD" w:rsidRPr="00A86A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F06FFA" w14:textId="77777777" w:rsidR="00CD32D7" w:rsidRDefault="00CD32D7" w:rsidP="00A86AFD">
      <w:pPr>
        <w:rPr>
          <w:rFonts w:hint="eastAsia"/>
        </w:rPr>
      </w:pPr>
      <w:r>
        <w:separator/>
      </w:r>
    </w:p>
  </w:endnote>
  <w:endnote w:type="continuationSeparator" w:id="0">
    <w:p w14:paraId="1DDF74E6" w14:textId="77777777" w:rsidR="00CD32D7" w:rsidRDefault="00CD32D7" w:rsidP="00A86A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B49FB" w14:textId="77777777" w:rsidR="00CD32D7" w:rsidRDefault="00CD32D7" w:rsidP="00A86AFD">
      <w:pPr>
        <w:rPr>
          <w:rFonts w:hint="eastAsia"/>
        </w:rPr>
      </w:pPr>
      <w:r>
        <w:separator/>
      </w:r>
    </w:p>
  </w:footnote>
  <w:footnote w:type="continuationSeparator" w:id="0">
    <w:p w14:paraId="31CADD33" w14:textId="77777777" w:rsidR="00CD32D7" w:rsidRDefault="00CD32D7" w:rsidP="00A86A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1A"/>
    <w:rsid w:val="00776B87"/>
    <w:rsid w:val="007E69D3"/>
    <w:rsid w:val="009F59A9"/>
    <w:rsid w:val="00A86AFD"/>
    <w:rsid w:val="00B5511A"/>
    <w:rsid w:val="00CD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3E65B"/>
  <w15:chartTrackingRefBased/>
  <w15:docId w15:val="{BC9673E7-0EC1-4EB0-AC3A-0EEE3BE63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6AFD"/>
    <w:pPr>
      <w:tabs>
        <w:tab w:val="center" w:pos="4153"/>
        <w:tab w:val="right" w:pos="8306"/>
      </w:tabs>
      <w:snapToGrid w:val="0"/>
      <w:jc w:val="center"/>
    </w:pPr>
    <w:rPr>
      <w:sz w:val="18"/>
      <w:szCs w:val="18"/>
    </w:rPr>
  </w:style>
  <w:style w:type="character" w:customStyle="1" w:styleId="a4">
    <w:name w:val="页眉 字符"/>
    <w:basedOn w:val="a0"/>
    <w:link w:val="a3"/>
    <w:uiPriority w:val="99"/>
    <w:rsid w:val="00A86AFD"/>
    <w:rPr>
      <w:sz w:val="18"/>
      <w:szCs w:val="18"/>
    </w:rPr>
  </w:style>
  <w:style w:type="paragraph" w:styleId="a5">
    <w:name w:val="footer"/>
    <w:basedOn w:val="a"/>
    <w:link w:val="a6"/>
    <w:uiPriority w:val="99"/>
    <w:unhideWhenUsed/>
    <w:rsid w:val="00A86AFD"/>
    <w:pPr>
      <w:tabs>
        <w:tab w:val="center" w:pos="4153"/>
        <w:tab w:val="right" w:pos="8306"/>
      </w:tabs>
      <w:snapToGrid w:val="0"/>
      <w:jc w:val="left"/>
    </w:pPr>
    <w:rPr>
      <w:sz w:val="18"/>
      <w:szCs w:val="18"/>
    </w:rPr>
  </w:style>
  <w:style w:type="character" w:customStyle="1" w:styleId="a6">
    <w:name w:val="页脚 字符"/>
    <w:basedOn w:val="a0"/>
    <w:link w:val="a5"/>
    <w:uiPriority w:val="99"/>
    <w:rsid w:val="00A86A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Chengda Ge</dc:creator>
  <cp:keywords/>
  <dc:description/>
  <cp:lastModifiedBy>Chengda Ge</cp:lastModifiedBy>
  <cp:revision>2</cp:revision>
  <dcterms:created xsi:type="dcterms:W3CDTF">2024-12-16T05:59:00Z</dcterms:created>
  <dcterms:modified xsi:type="dcterms:W3CDTF">2024-12-16T06:00:00Z</dcterms:modified>
</cp:coreProperties>
</file>