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B2C2DE">
      <w:pPr>
        <w:pStyle w:val="2"/>
        <w:jc w:val="center"/>
        <w:rPr>
          <w:rFonts w:hint="default" w:ascii="仿宋" w:hAnsi="仿宋" w:eastAsia="仿宋"/>
          <w:sz w:val="56"/>
          <w:lang w:val="en-US" w:eastAsia="zh-CN"/>
        </w:rPr>
      </w:pPr>
      <w:r>
        <w:rPr>
          <w:rFonts w:hint="eastAsia" w:ascii="仿宋" w:hAnsi="仿宋" w:eastAsia="仿宋"/>
          <w:sz w:val="44"/>
        </w:rPr>
        <w:t>焊接调试安全操作和注意事项告知书</w:t>
      </w:r>
      <w:r>
        <w:rPr>
          <w:rFonts w:hint="eastAsia" w:ascii="仿宋" w:hAnsi="仿宋" w:eastAsia="仿宋"/>
          <w:sz w:val="44"/>
          <w:lang w:val="en-US" w:eastAsia="zh-CN"/>
        </w:rPr>
        <w:t>-题目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99"/>
        <w:gridCol w:w="4446"/>
      </w:tblGrid>
      <w:tr w14:paraId="32A127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99" w:type="dxa"/>
          </w:tcPr>
          <w:p w14:paraId="455EDCA9">
            <w:pPr>
              <w:jc w:val="center"/>
              <w:rPr>
                <w:rFonts w:ascii="仿宋_GB2312" w:eastAsia="仿宋_GB2312"/>
                <w:sz w:val="36"/>
              </w:rPr>
            </w:pPr>
            <w:r>
              <w:rPr>
                <w:rFonts w:hint="eastAsia" w:ascii="仿宋_GB2312" w:eastAsia="仿宋_GB2312"/>
                <w:sz w:val="36"/>
              </w:rPr>
              <w:t>安全操作规程</w:t>
            </w:r>
          </w:p>
        </w:tc>
        <w:tc>
          <w:tcPr>
            <w:tcW w:w="4446" w:type="dxa"/>
          </w:tcPr>
          <w:p w14:paraId="73EF9F10">
            <w:pPr>
              <w:jc w:val="center"/>
              <w:rPr>
                <w:rFonts w:ascii="仿宋_GB2312" w:eastAsia="仿宋_GB2312"/>
                <w:sz w:val="36"/>
              </w:rPr>
            </w:pPr>
            <w:r>
              <w:rPr>
                <w:rFonts w:hint="eastAsia" w:ascii="仿宋_GB2312" w:eastAsia="仿宋_GB2312"/>
                <w:sz w:val="36"/>
              </w:rPr>
              <w:t>安全关键点图示</w:t>
            </w:r>
          </w:p>
        </w:tc>
      </w:tr>
      <w:tr w14:paraId="2FA27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5399" w:type="dxa"/>
            <w:vAlign w:val="center"/>
          </w:tcPr>
          <w:p w14:paraId="00EFCF24">
            <w:pPr>
              <w:jc w:val="left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  <w:b/>
                <w:sz w:val="28"/>
              </w:rPr>
              <w:t>实验前</w:t>
            </w:r>
          </w:p>
        </w:tc>
        <w:tc>
          <w:tcPr>
            <w:tcW w:w="4446" w:type="dxa"/>
            <w:vMerge w:val="restart"/>
          </w:tcPr>
          <w:p w14:paraId="03C43158">
            <w:pPr>
              <w:jc w:val="center"/>
            </w:pPr>
            <w:r>
              <w:drawing>
                <wp:inline distT="0" distB="0" distL="0" distR="0">
                  <wp:extent cx="2437765" cy="1828800"/>
                  <wp:effectExtent l="19050" t="0" r="294" b="0"/>
                  <wp:docPr id="3" name="图片 10" descr="E:\实验中心\任务\2019春季\安全管理制度\安全操作规程（分实验室）\wuping负责\微信图片_201906050855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0" descr="E:\实验中心\任务\2019春季\安全管理制度\安全操作规程（分实验室）\wuping负责\微信图片_201906050855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846" cy="1831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36D40B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图1 手工焊接实验台</w:t>
            </w:r>
          </w:p>
          <w:p w14:paraId="2215C384">
            <w:pPr>
              <w:jc w:val="center"/>
              <w:rPr>
                <w:rFonts w:ascii="仿宋_GB2312" w:eastAsia="仿宋_GB2312"/>
                <w:sz w:val="24"/>
              </w:rPr>
            </w:pPr>
            <w:r>
              <w:drawing>
                <wp:inline distT="0" distB="0" distL="0" distR="0">
                  <wp:extent cx="2330450" cy="1911350"/>
                  <wp:effectExtent l="0" t="0" r="0" b="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0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111D6D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图2实验台空开</w:t>
            </w:r>
          </w:p>
          <w:p w14:paraId="507BC3BD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</w:rPr>
              <w:drawing>
                <wp:inline distT="0" distB="0" distL="0" distR="0">
                  <wp:extent cx="2503170" cy="1876425"/>
                  <wp:effectExtent l="19050" t="0" r="0" b="0"/>
                  <wp:docPr id="5" name="图片 6" descr="E:\实验中心\任务\2019春季\安全管理制度\安全操作规程（分实验室）\wuping负责\微信图片_2019060510050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 descr="E:\实验中心\任务\2019春季\安全管理制度\安全操作规程（分实验室）\wuping负责\微信图片_2019060510050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813" cy="1877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F5474">
            <w:pPr>
              <w:jc w:val="center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  <w:sz w:val="24"/>
              </w:rPr>
              <w:t>图3检查烙铁头</w:t>
            </w:r>
          </w:p>
        </w:tc>
      </w:tr>
      <w:tr w14:paraId="25D4B8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5" w:hRule="atLeast"/>
          <w:jc w:val="center"/>
        </w:trPr>
        <w:tc>
          <w:tcPr>
            <w:tcW w:w="5399" w:type="dxa"/>
            <w:vAlign w:val="center"/>
          </w:tcPr>
          <w:p w14:paraId="5A2F412C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  <w:rPr>
                <w:rFonts w:ascii="仿宋_GB2312" w:eastAsia="仿宋_GB2312"/>
                <w:sz w:val="20"/>
              </w:rPr>
            </w:pPr>
            <w:r>
              <w:rPr>
                <w:rFonts w:hint="eastAsia" w:ascii="仿宋_GB2312" w:eastAsia="仿宋_GB2312"/>
                <w:sz w:val="24"/>
              </w:rPr>
              <w:t>检查实验台空开、插座的完整性，打开空开，红灯亮起，表示正常（见图1.2）</w:t>
            </w:r>
          </w:p>
          <w:p w14:paraId="316CEB8C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  <w:rPr>
                <w:rFonts w:ascii="仿宋_GB2312" w:eastAsia="仿宋_GB2312"/>
                <w:sz w:val="20"/>
              </w:rPr>
            </w:pPr>
            <w:r>
              <w:rPr>
                <w:rFonts w:hint="eastAsia" w:ascii="仿宋_GB2312" w:eastAsia="仿宋_GB2312"/>
                <w:sz w:val="24"/>
              </w:rPr>
              <w:t>检查烙铁头是否有松动变形或者严重氧化而发黑，如严重氧化而发黑，可用钢挫或者除锡球挫去表层氧化物，使其露出金属光泽后，重新镀锡，才能使用（见图3）。</w:t>
            </w:r>
          </w:p>
          <w:p w14:paraId="5C277A59">
            <w:pPr>
              <w:jc w:val="left"/>
              <w:rPr>
                <w:rFonts w:ascii="仿宋_GB2312" w:eastAsia="仿宋_GB2312"/>
              </w:rPr>
            </w:pPr>
          </w:p>
          <w:p w14:paraId="0F0FBDBB">
            <w:pPr>
              <w:jc w:val="left"/>
              <w:rPr>
                <w:rFonts w:ascii="仿宋_GB2312" w:eastAsia="仿宋_GB2312"/>
              </w:rPr>
            </w:pPr>
          </w:p>
          <w:p w14:paraId="23848337">
            <w:pPr>
              <w:jc w:val="left"/>
              <w:rPr>
                <w:rFonts w:ascii="仿宋_GB2312" w:eastAsia="仿宋_GB2312"/>
              </w:rPr>
            </w:pPr>
          </w:p>
          <w:p w14:paraId="121DB25C">
            <w:pPr>
              <w:jc w:val="left"/>
              <w:rPr>
                <w:rFonts w:ascii="仿宋_GB2312" w:eastAsia="仿宋_GB2312"/>
              </w:rPr>
            </w:pPr>
          </w:p>
        </w:tc>
        <w:tc>
          <w:tcPr>
            <w:tcW w:w="4446" w:type="dxa"/>
            <w:vMerge w:val="continue"/>
          </w:tcPr>
          <w:p w14:paraId="3C689457">
            <w:pPr>
              <w:jc w:val="center"/>
            </w:pPr>
          </w:p>
        </w:tc>
      </w:tr>
      <w:tr w14:paraId="443463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  <w:jc w:val="center"/>
        </w:trPr>
        <w:tc>
          <w:tcPr>
            <w:tcW w:w="5399" w:type="dxa"/>
            <w:vAlign w:val="center"/>
          </w:tcPr>
          <w:p w14:paraId="12FF0C55">
            <w:pPr>
              <w:jc w:val="left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  <w:b/>
                <w:sz w:val="28"/>
              </w:rPr>
              <w:t>实验中</w:t>
            </w:r>
          </w:p>
        </w:tc>
        <w:tc>
          <w:tcPr>
            <w:tcW w:w="4446" w:type="dxa"/>
            <w:vMerge w:val="restart"/>
          </w:tcPr>
          <w:p w14:paraId="73090CCF">
            <w:pPr>
              <w:jc w:val="center"/>
            </w:pPr>
            <w: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273685</wp:posOffset>
                  </wp:positionH>
                  <wp:positionV relativeFrom="paragraph">
                    <wp:posOffset>1137285</wp:posOffset>
                  </wp:positionV>
                  <wp:extent cx="433070" cy="498475"/>
                  <wp:effectExtent l="19050" t="0" r="5080" b="0"/>
                  <wp:wrapNone/>
                  <wp:docPr id="6" name="图片 6" descr="C:\Users\wangkui\AppData\Local\Temp\1557199045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:\Users\wangkui\AppData\Local\Temp\1557199045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" cy="498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inline distT="0" distB="0" distL="0" distR="0">
                  <wp:extent cx="2100580" cy="1579245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034" cy="158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EDB3D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图4防静电手环</w:t>
            </w:r>
          </w:p>
          <w:p w14:paraId="20EB4C82">
            <w:pPr>
              <w:jc w:val="center"/>
              <w:rPr>
                <w:rFonts w:ascii="仿宋_GB2312" w:eastAsia="仿宋_GB2312"/>
                <w:sz w:val="24"/>
              </w:rPr>
            </w:pPr>
          </w:p>
          <w:p w14:paraId="17B35D67">
            <w:pPr>
              <w:jc w:val="center"/>
              <w:rPr>
                <w:rFonts w:ascii="仿宋_GB2312" w:eastAsia="仿宋_GB2312"/>
                <w:sz w:val="24"/>
              </w:rPr>
            </w:pPr>
            <w:r>
              <w:drawing>
                <wp:inline distT="0" distB="0" distL="0" distR="0">
                  <wp:extent cx="2419350" cy="1581150"/>
                  <wp:effectExtent l="0" t="0" r="0" b="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68BAE5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图5电烙铁和锡烟器</w:t>
            </w:r>
          </w:p>
          <w:p w14:paraId="342B3BA7">
            <w:pPr>
              <w:jc w:val="center"/>
              <w:rPr>
                <w:rFonts w:ascii="仿宋_GB2312" w:eastAsia="仿宋_GB2312"/>
                <w:sz w:val="24"/>
              </w:rPr>
            </w:pPr>
          </w:p>
          <w:p w14:paraId="6DFEF486">
            <w:pPr>
              <w:jc w:val="center"/>
              <w:rPr>
                <w:rFonts w:ascii="仿宋_GB2312" w:eastAsia="仿宋_GB2312"/>
                <w:sz w:val="24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1488440</wp:posOffset>
                  </wp:positionV>
                  <wp:extent cx="520065" cy="459740"/>
                  <wp:effectExtent l="0" t="0" r="0" b="0"/>
                  <wp:wrapNone/>
                  <wp:docPr id="4" name="图片 1" descr="C:\Users\wangkui\AppData\Local\Temp\1557198974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 descr="C:\Users\wangkui\AppData\Local\Temp\1557198974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76" cy="459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inline distT="0" distB="0" distL="0" distR="0">
                  <wp:extent cx="2686050" cy="1917700"/>
                  <wp:effectExtent l="0" t="0" r="0" b="635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2225DA3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图6电烙铁</w:t>
            </w:r>
          </w:p>
          <w:p w14:paraId="03309CBE">
            <w:pPr>
              <w:jc w:val="center"/>
              <w:rPr>
                <w:rFonts w:ascii="仿宋_GB2312" w:eastAsia="仿宋_GB2312"/>
                <w:sz w:val="24"/>
              </w:rPr>
            </w:pPr>
          </w:p>
          <w:p w14:paraId="17A972E9">
            <w:pPr>
              <w:jc w:val="center"/>
            </w:pPr>
            <w:r>
              <w:drawing>
                <wp:inline distT="0" distB="0" distL="0" distR="0">
                  <wp:extent cx="2514600" cy="1860550"/>
                  <wp:effectExtent l="0" t="0" r="0" b="635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95BF9">
            <w:pPr>
              <w:jc w:val="center"/>
            </w:pPr>
            <w:r>
              <w:rPr>
                <w:rFonts w:hint="eastAsia" w:ascii="仿宋_GB2312" w:eastAsia="仿宋_GB2312"/>
                <w:sz w:val="24"/>
              </w:rPr>
              <w:t>图7医药箱</w:t>
            </w:r>
          </w:p>
          <w:p w14:paraId="5997D321">
            <w:pPr>
              <w:jc w:val="center"/>
            </w:pPr>
            <w:r>
              <w:drawing>
                <wp:inline distT="0" distB="0" distL="0" distR="0">
                  <wp:extent cx="1847215" cy="1456055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1" r="5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879" cy="146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5553E">
            <w:pPr>
              <w:jc w:val="center"/>
            </w:pPr>
            <w:r>
              <w:drawing>
                <wp:inline distT="0" distB="0" distL="0" distR="0">
                  <wp:extent cx="2639695" cy="1263650"/>
                  <wp:effectExtent l="0" t="0" r="825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36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82" cy="1267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69AD9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图8部分元器件及工具箱中工具</w:t>
            </w:r>
          </w:p>
        </w:tc>
      </w:tr>
      <w:tr w14:paraId="08758B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3" w:hRule="atLeast"/>
          <w:jc w:val="center"/>
        </w:trPr>
        <w:tc>
          <w:tcPr>
            <w:tcW w:w="5399" w:type="dxa"/>
            <w:vAlign w:val="center"/>
          </w:tcPr>
          <w:p w14:paraId="70826EB2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元器件手工焊接操作时需佩戴带防静电手环（见图4）。</w:t>
            </w:r>
          </w:p>
          <w:p w14:paraId="59BA8F93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使用电烙铁焊接时：</w:t>
            </w:r>
          </w:p>
          <w:p w14:paraId="20381837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按下绿色按钮，打开锡烟器，焊锡和松香在焊接过程中会产生有味的烟气，请同学尽量佩戴口罩，不要将口鼻眼正对烟气的上方，并且使用时需防止元器件被吸入锡烟器（见图5）；</w:t>
            </w:r>
          </w:p>
          <w:p w14:paraId="1CA751F5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电烙铁温度不能超过420摄氏度，附近不能放易燃性物品以及电源线，严禁将烙铁头放在非烙铁架上，严禁在非焊接绝缘垫上焊接（见图6）。</w:t>
            </w:r>
          </w:p>
          <w:p w14:paraId="371FF5D9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电烙铁使用中，不能用力敲击，要防止跌落。烙铁头上焊锡过多时，可在焊台除锡球上擦掉，不可乱甩。</w:t>
            </w:r>
          </w:p>
          <w:p w14:paraId="7EB969EC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电烙铁使用中，应防止烫伤，如发生意外，请立即使用清水清洗，使用医药箱（见图7）中烫伤膏进行紧急处理。</w:t>
            </w:r>
          </w:p>
          <w:p w14:paraId="10163BB8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电烙铁使用中，眼睛不要离板件过近，可佩戴护目镜防止松香或焊锡迸溅入眼。</w:t>
            </w:r>
          </w:p>
          <w:p w14:paraId="1E565A5E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使用工具箱中的电子元器件、镊子、斜口钳（见图8）时，注意锋利的管脚，小心扎伤或夹伤，如发生意外，请立即使用医药箱中酒精棉、创口贴等。</w:t>
            </w:r>
          </w:p>
          <w:p w14:paraId="556EB774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禁止在仪器设备工作时，直接关闭插座电源开关。</w:t>
            </w:r>
          </w:p>
          <w:p w14:paraId="6BAE4F02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sz w:val="28"/>
              </w:rPr>
            </w:pPr>
            <w:r>
              <w:rPr>
                <w:rFonts w:hint="eastAsia" w:ascii="仿宋_GB2312" w:eastAsia="仿宋_GB2312"/>
                <w:sz w:val="24"/>
              </w:rPr>
              <w:t>如果实验中，有仪器设备异常发热或产生异响，必须立即停止操作，并关闭设备电源及插座电源，并通知相关负责人，不可自行拆卸或维修。</w:t>
            </w:r>
          </w:p>
        </w:tc>
        <w:tc>
          <w:tcPr>
            <w:tcW w:w="4446" w:type="dxa"/>
            <w:vMerge w:val="continue"/>
          </w:tcPr>
          <w:p w14:paraId="1C196BDF">
            <w:pPr>
              <w:jc w:val="center"/>
            </w:pPr>
          </w:p>
        </w:tc>
      </w:tr>
      <w:tr w14:paraId="654688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  <w:jc w:val="center"/>
        </w:trPr>
        <w:tc>
          <w:tcPr>
            <w:tcW w:w="5399" w:type="dxa"/>
            <w:vAlign w:val="center"/>
          </w:tcPr>
          <w:p w14:paraId="4A8A6565">
            <w:pPr>
              <w:jc w:val="left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  <w:b/>
                <w:sz w:val="28"/>
              </w:rPr>
              <w:t>实验后</w:t>
            </w:r>
          </w:p>
        </w:tc>
        <w:tc>
          <w:tcPr>
            <w:tcW w:w="4446" w:type="dxa"/>
            <w:vMerge w:val="restart"/>
          </w:tcPr>
          <w:p w14:paraId="7445FF1F">
            <w:r>
              <w:drawing>
                <wp:inline distT="0" distB="0" distL="0" distR="0">
                  <wp:extent cx="2435860" cy="1965960"/>
                  <wp:effectExtent l="0" t="0" r="2540" b="0"/>
                  <wp:docPr id="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111" cy="1968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6BADC6">
            <w:pPr>
              <w:jc w:val="center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  <w:sz w:val="24"/>
              </w:rPr>
              <w:t>图9 烙铁头沾锡</w:t>
            </w:r>
          </w:p>
        </w:tc>
      </w:tr>
      <w:tr w14:paraId="494977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0" w:hRule="atLeast"/>
          <w:jc w:val="center"/>
        </w:trPr>
        <w:tc>
          <w:tcPr>
            <w:tcW w:w="5399" w:type="dxa"/>
            <w:vAlign w:val="center"/>
          </w:tcPr>
          <w:p w14:paraId="4B40DDDD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烙铁头关闭前，需将烙铁头沾锡，并放置在烙铁架上，等待冷却（见图9）；然后</w:t>
            </w:r>
            <w:r>
              <w:rPr>
                <w:rFonts w:ascii="仿宋_GB2312" w:eastAsia="仿宋_GB2312"/>
                <w:sz w:val="24"/>
              </w:rPr>
              <w:t>按要求依次关闭设备电源</w:t>
            </w:r>
            <w:r>
              <w:rPr>
                <w:rFonts w:hint="eastAsia" w:ascii="仿宋_GB2312" w:eastAsia="仿宋_GB2312"/>
                <w:sz w:val="24"/>
              </w:rPr>
              <w:t>、</w:t>
            </w:r>
            <w:r>
              <w:rPr>
                <w:rFonts w:ascii="仿宋_GB2312" w:eastAsia="仿宋_GB2312"/>
                <w:sz w:val="24"/>
              </w:rPr>
              <w:t>插座开关</w:t>
            </w:r>
            <w:r>
              <w:rPr>
                <w:rFonts w:hint="eastAsia" w:ascii="仿宋_GB2312" w:eastAsia="仿宋_GB2312"/>
                <w:sz w:val="24"/>
              </w:rPr>
              <w:t>。</w:t>
            </w:r>
          </w:p>
          <w:p w14:paraId="5F86588E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  <w:rPr>
                <w:rFonts w:ascii="仿宋_GB2312" w:eastAsia="仿宋_GB2312"/>
                <w:sz w:val="28"/>
              </w:rPr>
            </w:pPr>
            <w:r>
              <w:rPr>
                <w:rFonts w:hint="eastAsia" w:ascii="仿宋_GB2312" w:eastAsia="仿宋_GB2312"/>
                <w:sz w:val="24"/>
              </w:rPr>
              <w:t>每个月切断一次空开。</w:t>
            </w:r>
          </w:p>
        </w:tc>
        <w:tc>
          <w:tcPr>
            <w:tcW w:w="4446" w:type="dxa"/>
            <w:vMerge w:val="continue"/>
          </w:tcPr>
          <w:p w14:paraId="45F3E28D">
            <w:pPr>
              <w:jc w:val="right"/>
            </w:pPr>
          </w:p>
        </w:tc>
      </w:tr>
      <w:tr w14:paraId="09B84F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6" w:hRule="atLeast"/>
          <w:jc w:val="center"/>
        </w:trPr>
        <w:tc>
          <w:tcPr>
            <w:tcW w:w="9845" w:type="dxa"/>
            <w:gridSpan w:val="2"/>
            <w:vAlign w:val="center"/>
          </w:tcPr>
          <w:p w14:paraId="5E62CE2B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</w:pPr>
            <w:r>
              <w:rPr>
                <w:rFonts w:hint="eastAsia" w:ascii="仿宋_GB2312" w:eastAsia="仿宋_GB2312"/>
                <w:sz w:val="24"/>
              </w:rPr>
              <w:t>发现安全隐患，或有安全担忧时，及时联系实验室安全管理员</w:t>
            </w:r>
            <w:r>
              <w:rPr>
                <w:rFonts w:hint="eastAsia" w:ascii="仿宋_GB2312" w:eastAsia="仿宋_GB2312"/>
                <w:b/>
                <w:color w:val="FF0000"/>
                <w:sz w:val="24"/>
              </w:rPr>
              <w:t>高老师（</w:t>
            </w:r>
            <w:r>
              <w:rPr>
                <w:rFonts w:ascii="仿宋_GB2312" w:eastAsia="仿宋_GB2312"/>
                <w:b/>
                <w:color w:val="FF0000"/>
                <w:sz w:val="24"/>
              </w:rPr>
              <w:t>0755-</w:t>
            </w:r>
            <w:r>
              <w:rPr>
                <w:rFonts w:hint="eastAsia" w:ascii="仿宋_GB2312" w:eastAsia="仿宋_GB2312"/>
                <w:b/>
                <w:color w:val="FF0000"/>
                <w:sz w:val="24"/>
              </w:rPr>
              <w:t>26640831）</w:t>
            </w:r>
            <w:r>
              <w:rPr>
                <w:rFonts w:hint="eastAsia" w:ascii="仿宋_GB2312" w:eastAsia="仿宋_GB2312"/>
                <w:sz w:val="24"/>
              </w:rPr>
              <w:t>，或直接与学校安全管理人员</w:t>
            </w:r>
            <w:r>
              <w:rPr>
                <w:rFonts w:hint="eastAsia" w:ascii="仿宋_GB2312" w:eastAsia="仿宋_GB2312"/>
                <w:b/>
                <w:color w:val="FF0000"/>
                <w:sz w:val="24"/>
              </w:rPr>
              <w:t>杨老师（</w:t>
            </w:r>
            <w:r>
              <w:rPr>
                <w:rFonts w:ascii="仿宋_GB2312" w:eastAsia="仿宋_GB2312"/>
                <w:b/>
                <w:color w:val="FF0000"/>
                <w:sz w:val="24"/>
              </w:rPr>
              <w:t>0755-86570074</w:t>
            </w:r>
            <w:r>
              <w:rPr>
                <w:rFonts w:hint="eastAsia" w:ascii="仿宋_GB2312" w:eastAsia="仿宋_GB2312"/>
                <w:b/>
                <w:color w:val="FF0000"/>
                <w:sz w:val="24"/>
              </w:rPr>
              <w:t>）</w:t>
            </w:r>
            <w:r>
              <w:rPr>
                <w:rFonts w:hint="eastAsia" w:ascii="仿宋_GB2312" w:eastAsia="仿宋_GB2312"/>
                <w:sz w:val="24"/>
              </w:rPr>
              <w:t>联系。</w:t>
            </w:r>
          </w:p>
        </w:tc>
      </w:tr>
    </w:tbl>
    <w:p w14:paraId="34C07C3D">
      <w:pPr>
        <w:jc w:val="center"/>
      </w:pPr>
      <w:r>
        <w:drawing>
          <wp:inline distT="0" distB="0" distL="0" distR="0">
            <wp:extent cx="1365250" cy="1005205"/>
            <wp:effectExtent l="0" t="0" r="6350" b="4445"/>
            <wp:docPr id="1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973" cy="100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092200" cy="9721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4682" cy="9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806450" cy="988695"/>
            <wp:effectExtent l="0" t="0" r="0" b="1905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7127" cy="9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939800" cy="995045"/>
            <wp:effectExtent l="0" t="0" r="0" b="0"/>
            <wp:docPr id="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9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56DB">
      <w:pPr>
        <w:jc w:val="center"/>
      </w:pPr>
    </w:p>
    <w:p w14:paraId="23431A98">
      <w:pPr>
        <w:jc w:val="center"/>
      </w:pPr>
    </w:p>
    <w:p w14:paraId="4C0C49C9">
      <w:pPr>
        <w:adjustRightInd w:val="0"/>
        <w:snapToGrid w:val="0"/>
        <w:spacing w:line="360" w:lineRule="auto"/>
        <w:ind w:firstLine="480" w:firstLineChars="200"/>
        <w:rPr>
          <w:rFonts w:ascii="仿宋" w:hAnsi="仿宋" w:eastAsia="仿宋"/>
          <w:color w:val="FF0000"/>
          <w:sz w:val="24"/>
          <w:szCs w:val="28"/>
        </w:rPr>
      </w:pPr>
      <w:r>
        <w:rPr>
          <w:rFonts w:hint="eastAsia" w:ascii="仿宋" w:hAnsi="仿宋" w:eastAsia="仿宋"/>
          <w:color w:val="FF0000"/>
          <w:sz w:val="24"/>
          <w:szCs w:val="28"/>
        </w:rPr>
        <w:t>请同学认真阅读该《焊接调试安全操作和注意事项告知书》，将下面的文字手写，签名填上日期（文字+签名+日期手写），然后拍照粘贴在下面的方框中。</w:t>
      </w:r>
    </w:p>
    <w:p w14:paraId="14BB3CF9">
      <w:pPr>
        <w:adjustRightInd w:val="0"/>
        <w:snapToGrid w:val="0"/>
        <w:spacing w:line="360" w:lineRule="auto"/>
        <w:ind w:firstLine="482" w:firstLineChars="200"/>
        <w:rPr>
          <w:rFonts w:ascii="仿宋" w:hAnsi="仿宋" w:eastAsia="仿宋"/>
          <w:b/>
          <w:bCs/>
          <w:sz w:val="24"/>
          <w:szCs w:val="28"/>
        </w:rPr>
      </w:pPr>
      <w:r>
        <w:rPr>
          <w:rFonts w:hint="eastAsia" w:ascii="仿宋" w:hAnsi="仿宋" w:eastAsia="仿宋"/>
          <w:b/>
          <w:bCs/>
          <w:sz w:val="24"/>
          <w:szCs w:val="28"/>
        </w:rPr>
        <w:t>“本人已仔细阅读《焊接调试安全操作和注意事项告知书》，了解本次焊接调试课程的安全操作和注意事项，愿意承担未按《焊接调试安全操作和注意事项告知书》操作出现的后果。”</w:t>
      </w:r>
    </w:p>
    <w:p w14:paraId="6A0B59EE">
      <w:pPr>
        <w:jc w:val="left"/>
      </w:pPr>
    </w:p>
    <w:tbl>
      <w:tblPr>
        <w:tblStyle w:val="7"/>
        <w:tblpPr w:leftFromText="180" w:rightFromText="180" w:vertAnchor="text" w:horzAnchor="page" w:tblpXSpec="center" w:tblpY="47"/>
        <w:tblOverlap w:val="never"/>
        <w:tblW w:w="1034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3"/>
      </w:tblGrid>
      <w:tr w14:paraId="6C7E22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  <w:jc w:val="center"/>
        </w:trPr>
        <w:tc>
          <w:tcPr>
            <w:tcW w:w="10343" w:type="dxa"/>
          </w:tcPr>
          <w:p w14:paraId="04C2C2E5">
            <w:pPr>
              <w:jc w:val="left"/>
            </w:pPr>
          </w:p>
          <w:p w14:paraId="07B867EB">
            <w:pPr>
              <w:jc w:val="left"/>
            </w:pPr>
          </w:p>
          <w:p w14:paraId="457ADFB7">
            <w:pPr>
              <w:jc w:val="left"/>
            </w:pPr>
          </w:p>
          <w:p w14:paraId="379976CB">
            <w:pPr>
              <w:jc w:val="left"/>
            </w:pPr>
          </w:p>
          <w:p w14:paraId="04F5D9F4">
            <w:pPr>
              <w:jc w:val="left"/>
              <w:rPr>
                <w:rFonts w:hint="eastAsia" w:eastAsiaTheme="minorEastAsia"/>
                <w:lang w:eastAsia="zh-CN"/>
              </w:rPr>
            </w:pPr>
          </w:p>
          <w:p w14:paraId="3CA91626">
            <w:pPr>
              <w:jc w:val="left"/>
            </w:pPr>
          </w:p>
          <w:p w14:paraId="13476DAF">
            <w:pPr>
              <w:jc w:val="left"/>
            </w:pPr>
          </w:p>
          <w:p w14:paraId="706902C3">
            <w:pPr>
              <w:ind w:right="2248"/>
              <w:jc w:val="right"/>
              <w:rPr>
                <w:rFonts w:ascii="仿宋" w:hAnsi="仿宋" w:eastAsia="仿宋"/>
                <w:b/>
                <w:bCs/>
                <w:sz w:val="28"/>
                <w:szCs w:val="28"/>
              </w:rPr>
            </w:pP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 xml:space="preserve">签名： </w:t>
            </w:r>
            <w:r>
              <w:rPr>
                <w:rFonts w:ascii="仿宋" w:hAnsi="仿宋" w:eastAsia="仿宋"/>
                <w:b/>
                <w:bCs/>
                <w:sz w:val="28"/>
                <w:szCs w:val="28"/>
              </w:rPr>
              <w:t xml:space="preserve">               </w:t>
            </w:r>
          </w:p>
          <w:p w14:paraId="7CF9133C">
            <w:pPr>
              <w:jc w:val="right"/>
            </w:pP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 xml:space="preserve">日期： </w:t>
            </w:r>
            <w:r>
              <w:rPr>
                <w:rFonts w:ascii="仿宋" w:hAnsi="仿宋" w:eastAsia="仿宋"/>
                <w:b/>
                <w:bCs/>
                <w:sz w:val="28"/>
                <w:szCs w:val="28"/>
              </w:rPr>
              <w:t xml:space="preserve">  </w:t>
            </w: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 xml:space="preserve">年 </w:t>
            </w:r>
            <w:r>
              <w:rPr>
                <w:rFonts w:ascii="仿宋" w:hAnsi="仿宋" w:eastAsia="仿宋"/>
                <w:b/>
                <w:bCs/>
                <w:sz w:val="28"/>
                <w:szCs w:val="28"/>
              </w:rPr>
              <w:t xml:space="preserve">   </w:t>
            </w: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 xml:space="preserve">月 </w:t>
            </w:r>
            <w:r>
              <w:rPr>
                <w:rFonts w:ascii="仿宋" w:hAnsi="仿宋" w:eastAsia="仿宋"/>
                <w:b/>
                <w:bCs/>
                <w:sz w:val="28"/>
                <w:szCs w:val="28"/>
              </w:rPr>
              <w:t xml:space="preserve">  </w:t>
            </w: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>日</w:t>
            </w:r>
          </w:p>
        </w:tc>
      </w:tr>
    </w:tbl>
    <w:p w14:paraId="467AFDD5">
      <w:pPr>
        <w:jc w:val="center"/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83508E"/>
    <w:multiLevelType w:val="multilevel"/>
    <w:tmpl w:val="4D83508E"/>
    <w:lvl w:ilvl="0" w:tentative="0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34130F"/>
    <w:multiLevelType w:val="multilevel"/>
    <w:tmpl w:val="5F34130F"/>
    <w:lvl w:ilvl="0" w:tentative="0">
      <w:start w:val="1"/>
      <w:numFmt w:val="decimalEnclosedCircle"/>
      <w:lvlText w:val="%1"/>
      <w:lvlJc w:val="left"/>
      <w:pPr>
        <w:ind w:left="420" w:hanging="420"/>
      </w:pPr>
      <w:rPr>
        <w:rFonts w:hint="eastAsia" w:ascii="宋体" w:hAnsi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0NjY5NGEwOWI3ODc3ZjBmMDQyM2IxNDRjOTQxYzUifQ=="/>
  </w:docVars>
  <w:rsids>
    <w:rsidRoot w:val="00FC40F3"/>
    <w:rsid w:val="0004452F"/>
    <w:rsid w:val="00072248"/>
    <w:rsid w:val="00087A96"/>
    <w:rsid w:val="000C7688"/>
    <w:rsid w:val="000F116A"/>
    <w:rsid w:val="0017773C"/>
    <w:rsid w:val="001A7511"/>
    <w:rsid w:val="001C2F39"/>
    <w:rsid w:val="001C32B2"/>
    <w:rsid w:val="001E6CD4"/>
    <w:rsid w:val="001F4B10"/>
    <w:rsid w:val="00221509"/>
    <w:rsid w:val="0037579D"/>
    <w:rsid w:val="00375D60"/>
    <w:rsid w:val="00387867"/>
    <w:rsid w:val="003A176F"/>
    <w:rsid w:val="003A1CA6"/>
    <w:rsid w:val="003A297E"/>
    <w:rsid w:val="003A2F72"/>
    <w:rsid w:val="003C6A0B"/>
    <w:rsid w:val="003D1C71"/>
    <w:rsid w:val="003F00CA"/>
    <w:rsid w:val="003F5F2C"/>
    <w:rsid w:val="00454A31"/>
    <w:rsid w:val="00476E2C"/>
    <w:rsid w:val="00485210"/>
    <w:rsid w:val="00491988"/>
    <w:rsid w:val="004953F4"/>
    <w:rsid w:val="004A003C"/>
    <w:rsid w:val="004B4C77"/>
    <w:rsid w:val="004C49E6"/>
    <w:rsid w:val="004E2493"/>
    <w:rsid w:val="005808CE"/>
    <w:rsid w:val="005B0FD7"/>
    <w:rsid w:val="005B5F6B"/>
    <w:rsid w:val="005C0F86"/>
    <w:rsid w:val="005F2529"/>
    <w:rsid w:val="006149C1"/>
    <w:rsid w:val="006167D7"/>
    <w:rsid w:val="00677DBC"/>
    <w:rsid w:val="006E6E58"/>
    <w:rsid w:val="006E7783"/>
    <w:rsid w:val="00702F5B"/>
    <w:rsid w:val="00751412"/>
    <w:rsid w:val="00771C44"/>
    <w:rsid w:val="007B3F33"/>
    <w:rsid w:val="007C38FA"/>
    <w:rsid w:val="007E6630"/>
    <w:rsid w:val="007F2E48"/>
    <w:rsid w:val="0085171A"/>
    <w:rsid w:val="00857F10"/>
    <w:rsid w:val="008A54AC"/>
    <w:rsid w:val="008C7039"/>
    <w:rsid w:val="008D5499"/>
    <w:rsid w:val="008F0D67"/>
    <w:rsid w:val="00912368"/>
    <w:rsid w:val="00970347"/>
    <w:rsid w:val="00980391"/>
    <w:rsid w:val="009A177D"/>
    <w:rsid w:val="009E0459"/>
    <w:rsid w:val="009E356D"/>
    <w:rsid w:val="009F06B2"/>
    <w:rsid w:val="00A27B75"/>
    <w:rsid w:val="00A46CE4"/>
    <w:rsid w:val="00AA0ED2"/>
    <w:rsid w:val="00AA0F90"/>
    <w:rsid w:val="00AE7016"/>
    <w:rsid w:val="00AF46E9"/>
    <w:rsid w:val="00B122FB"/>
    <w:rsid w:val="00B53EE7"/>
    <w:rsid w:val="00BC1524"/>
    <w:rsid w:val="00C01015"/>
    <w:rsid w:val="00C05748"/>
    <w:rsid w:val="00C1196B"/>
    <w:rsid w:val="00C14695"/>
    <w:rsid w:val="00C60D4B"/>
    <w:rsid w:val="00C6601A"/>
    <w:rsid w:val="00C91CD9"/>
    <w:rsid w:val="00C96340"/>
    <w:rsid w:val="00CA0859"/>
    <w:rsid w:val="00CA6D2F"/>
    <w:rsid w:val="00CE4361"/>
    <w:rsid w:val="00D03DDD"/>
    <w:rsid w:val="00D1594C"/>
    <w:rsid w:val="00D67276"/>
    <w:rsid w:val="00D96165"/>
    <w:rsid w:val="00DB58D0"/>
    <w:rsid w:val="00DC595F"/>
    <w:rsid w:val="00E459C1"/>
    <w:rsid w:val="00E76FC4"/>
    <w:rsid w:val="00EA7399"/>
    <w:rsid w:val="00EB639C"/>
    <w:rsid w:val="00F2727F"/>
    <w:rsid w:val="00F470DD"/>
    <w:rsid w:val="00F74D8D"/>
    <w:rsid w:val="00FA25EF"/>
    <w:rsid w:val="00FB2415"/>
    <w:rsid w:val="00FC253C"/>
    <w:rsid w:val="00FC40F3"/>
    <w:rsid w:val="305F4B76"/>
    <w:rsid w:val="48BF0AFD"/>
    <w:rsid w:val="5B8304E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autoRedefine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 Char"/>
    <w:basedOn w:val="8"/>
    <w:link w:val="5"/>
    <w:autoRedefine/>
    <w:qFormat/>
    <w:uiPriority w:val="99"/>
    <w:rPr>
      <w:sz w:val="18"/>
      <w:szCs w:val="18"/>
    </w:rPr>
  </w:style>
  <w:style w:type="character" w:customStyle="1" w:styleId="10">
    <w:name w:val="页脚 Char"/>
    <w:basedOn w:val="8"/>
    <w:link w:val="4"/>
    <w:autoRedefine/>
    <w:qFormat/>
    <w:uiPriority w:val="99"/>
    <w:rPr>
      <w:sz w:val="18"/>
      <w:szCs w:val="18"/>
    </w:rPr>
  </w:style>
  <w:style w:type="paragraph" w:styleId="11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2">
    <w:name w:val="批注框文本 Char"/>
    <w:basedOn w:val="8"/>
    <w:link w:val="3"/>
    <w:autoRedefine/>
    <w:semiHidden/>
    <w:qFormat/>
    <w:uiPriority w:val="99"/>
    <w:rPr>
      <w:sz w:val="18"/>
      <w:szCs w:val="18"/>
    </w:rPr>
  </w:style>
  <w:style w:type="character" w:customStyle="1" w:styleId="13">
    <w:name w:val="标题 2 Char"/>
    <w:basedOn w:val="8"/>
    <w:link w:val="2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952</Words>
  <Characters>980</Characters>
  <Lines>7</Lines>
  <Paragraphs>2</Paragraphs>
  <TotalTime>1</TotalTime>
  <ScaleCrop>false</ScaleCrop>
  <LinksUpToDate>false</LinksUpToDate>
  <CharactersWithSpaces>1009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2022-08-27T06:34:00Z</dcterms:created>
  <dc:creator>Vwgagqu</dc:creator>
  <cp:lastModifiedBy>海王星之旅</cp:lastModifiedBy>
  <cp:lastPrinted>2022-08-27T06:54:00Z</cp:lastPrinted>
  <dcterms:modified xsi:type="dcterms:W3CDTF">2025-01-02T11:38:39Z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09DA4D46947244CC96AB05B8086667F7_12</vt:lpwstr>
  </property>
  <property fmtid="{D5CDD505-2E9C-101B-9397-08002B2CF9AE}" pid="4" name="KSOTemplateDocerSaveRecord">
    <vt:lpwstr>eyJoZGlkIjoiYjc4MmU4OGU1MGFmYjVkZjVkN2JlYjM1MDc0M2UyZmIiLCJ1c2VySWQiOiIxOTA3MTQwNTAifQ==</vt:lpwstr>
  </property>
</Properties>
</file>