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電子付録1</w:t>
      </w:r>
    </w:p>
    <w:p>
      <w:r>
        <w:t>聴力像自動生成の出力規則適合検証結果</w:t>
      </w:r>
    </w:p>
    <w:p>
      <w:r>
        <w:t>対応原稿：年齢・性別・聴力像パターンに応じた教育用オージオグラム自動生成システムの開発と出力規則の検証（技術論文）</w:t>
      </w:r>
    </w:p>
    <w:p>
      <w:r>
        <w:t>版：電子付録1 v2.32（2026-09-04）。対応原稿：manuscript_IgakuKensa_AudioScopeEDU_technical_validity_JAMT_v2.32.docx。T6aとT6b、T6cとT6dは、それぞれ同一の200件について付与の有無と形を確認したものであり、付与例を別に200件集めた試験ではない。</w:t>
      </w:r>
    </w:p>
    <w:p>
      <w:pPr>
        <w:pStyle w:val="Heading2"/>
      </w:pPr>
      <w:r>
        <w:t>1．検証の概要</w:t>
      </w:r>
    </w:p>
    <w:p>
      <w:r>
        <w:t>・実行日時：2026-09-04T14:18:50.939Z（Node.js v22.20.0 / darwin / audioscope-edu 1.0.0）</w:t>
      </w:r>
    </w:p>
    <w:p>
      <w:r>
        <w:t>・生成件数：正常および9種類の著者定義の教育用聴力像パターン × 6年齢群 × 男女 × 4段階の程度 × 各20件 ＝ 9,600件</w:t>
      </w:r>
    </w:p>
    <w:p>
      <w:r>
        <w:t>・適合の単位：原則として症例（合成閾値セット）単位。G2b・G4bのみ閾値点単位。</w:t>
      </w:r>
    </w:p>
    <w:p>
      <w:r>
        <w:t>・検証スクリプトは生成プログラムとは別ファイルに判定関数を実装した。症例生成のため生成関数を呼び出すが、合否判定式は生成器内部の拘束ルーチンを共有しない。一部の定数（最小ABG床など）は双方に同値を重複定義し、凍結正解表と突合して管理した。同一著者・同一仕様に基づく確認であり、外部機関による第三者検証ではない。</w:t>
      </w:r>
    </w:p>
    <w:p>
      <w:r>
        <w:t>・C5-dipの判定：程度が軽度以上の騒音性難聴で、左右とも 4 kHz気導が2 kHzおよび8 kHzよりそれぞれ10 dB以上（Colesらを参考にした著者設定）。</w:t>
      </w:r>
    </w:p>
    <w:p>
      <w:r>
        <w:t>・Carhart様変化：seed付き一様乱数によるBernoulli試行（発現確率80%）。決定論的に80%へ割付してはいない。付与率の許容帯70–90%および急性中耳炎混合型の許容帯40–60%は凍結正解表で事前設定し、95%信頼区間はWilson法で算出した。</w:t>
      </w:r>
    </w:p>
    <w:p>
      <w:r>
        <w:t>・急性中耳炎の混合型：程度≥1で教育用Bernoulli試行（付与率50%）。臨床発生率の再現ではない。最小ABG床は滲出性中耳炎と同一。</w:t>
      </w:r>
    </w:p>
    <w:p>
      <w:r>
        <w:t>・ISO 7029:2017を教育用参照値として使用し、修正票Amd 1:2024は未反映。検証グリッドは20～70歳代であり、18歳未満は対象外。</w:t>
      </w:r>
    </w:p>
    <w:p>
      <w:r>
        <w:t>・本付録は集計結果と項目識別番号を示す。ソースコード上の完全な判定式、seed一覧、実装版ハッシュの公開（例：リポジトリ附属資料またはDOI付与）は今後検討する。</w:t>
      </w:r>
    </w:p>
    <w:p>
      <w:pPr>
        <w:pStyle w:val="Heading2"/>
      </w:pPr>
      <w:r>
        <w:t>1b．ISO 7029:2017に基づく教育用参照値の要約（中央値）</w:t>
      </w:r>
    </w:p>
    <w:p>
      <w:r>
        <w:t>規格本文の表は転載しない。実装した教育用JSONから、気導中央値（dB HL）の要約を示す。0.125 kHzはISO表にないため教育用に隣接帯から補間・拘束している。骨導基準はISOが直接規定するものではなく、気骨導関係の著者規則から生成する。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性別</w:t>
            </w:r>
          </w:p>
        </w:tc>
        <w:tc>
          <w:tcPr>
            <w:tcW w:type="dxa" w:w="1234"/>
          </w:tcPr>
          <w:p>
            <w:r>
              <w:t>年齢群</w:t>
            </w:r>
          </w:p>
        </w:tc>
        <w:tc>
          <w:tcPr>
            <w:tcW w:type="dxa" w:w="1234"/>
          </w:tcPr>
          <w:p>
            <w:r>
              <w:t>0.5 kHz</w:t>
            </w:r>
          </w:p>
        </w:tc>
        <w:tc>
          <w:tcPr>
            <w:tcW w:type="dxa" w:w="1234"/>
          </w:tcPr>
          <w:p>
            <w:r>
              <w:t>1 kHz</w:t>
            </w:r>
          </w:p>
        </w:tc>
        <w:tc>
          <w:tcPr>
            <w:tcW w:type="dxa" w:w="1234"/>
          </w:tcPr>
          <w:p>
            <w:r>
              <w:t>2 kHz</w:t>
            </w:r>
          </w:p>
        </w:tc>
        <w:tc>
          <w:tcPr>
            <w:tcW w:type="dxa" w:w="1234"/>
          </w:tcPr>
          <w:p>
            <w:r>
              <w:t>4 kHz</w:t>
            </w:r>
          </w:p>
        </w:tc>
        <w:tc>
          <w:tcPr>
            <w:tcW w:type="dxa" w:w="1234"/>
          </w:tcPr>
          <w:p>
            <w:r>
              <w:t>8 kHz</w:t>
            </w:r>
          </w:p>
        </w:tc>
      </w:tr>
      <w:tr>
        <w:tc>
          <w:tcPr>
            <w:tcW w:type="dxa" w:w="1234"/>
          </w:tcPr>
          <w:p>
            <w:r>
              <w:t>男性</w:t>
            </w:r>
          </w:p>
        </w:tc>
        <w:tc>
          <w:tcPr>
            <w:tcW w:type="dxa" w:w="1234"/>
          </w:tcPr>
          <w:p>
            <w:r>
              <w:t>20s</w:t>
            </w:r>
          </w:p>
        </w:tc>
        <w:tc>
          <w:tcPr>
            <w:tcW w:type="dxa" w:w="1234"/>
          </w:tcPr>
          <w:p>
            <w:r>
              <w:t>0.0</w:t>
            </w:r>
          </w:p>
        </w:tc>
        <w:tc>
          <w:tcPr>
            <w:tcW w:type="dxa" w:w="1234"/>
          </w:tcPr>
          <w:p>
            <w:r>
              <w:t>0.0</w:t>
            </w:r>
          </w:p>
        </w:tc>
        <w:tc>
          <w:tcPr>
            <w:tcW w:type="dxa" w:w="1234"/>
          </w:tcPr>
          <w:p>
            <w:r>
              <w:t>0.0</w:t>
            </w:r>
          </w:p>
        </w:tc>
        <w:tc>
          <w:tcPr>
            <w:tcW w:type="dxa" w:w="1234"/>
          </w:tcPr>
          <w:p>
            <w:r>
              <w:t>0.0</w:t>
            </w:r>
          </w:p>
        </w:tc>
        <w:tc>
          <w:tcPr>
            <w:tcW w:type="dxa" w:w="1234"/>
          </w:tcPr>
          <w:p>
            <w:r>
              <w:t>0.0</w:t>
            </w:r>
          </w:p>
        </w:tc>
      </w:tr>
      <w:tr>
        <w:tc>
          <w:tcPr>
            <w:tcW w:type="dxa" w:w="1234"/>
          </w:tcPr>
          <w:p>
            <w:r>
              <w:t>男性</w:t>
            </w:r>
          </w:p>
        </w:tc>
        <w:tc>
          <w:tcPr>
            <w:tcW w:type="dxa" w:w="1234"/>
          </w:tcPr>
          <w:p>
            <w:r>
              <w:t>50s</w:t>
            </w:r>
          </w:p>
        </w:tc>
        <w:tc>
          <w:tcPr>
            <w:tcW w:type="dxa" w:w="1234"/>
          </w:tcPr>
          <w:p>
            <w:r>
              <w:t>3.0</w:t>
            </w:r>
          </w:p>
        </w:tc>
        <w:tc>
          <w:tcPr>
            <w:tcW w:type="dxa" w:w="1234"/>
          </w:tcPr>
          <w:p>
            <w:r>
              <w:t>4.0</w:t>
            </w:r>
          </w:p>
        </w:tc>
        <w:tc>
          <w:tcPr>
            <w:tcW w:type="dxa" w:w="1234"/>
          </w:tcPr>
          <w:p>
            <w:r>
              <w:t>6.5</w:t>
            </w:r>
          </w:p>
        </w:tc>
        <w:tc>
          <w:tcPr>
            <w:tcW w:type="dxa" w:w="1234"/>
          </w:tcPr>
          <w:p>
            <w:r>
              <w:t>10.7</w:t>
            </w:r>
          </w:p>
        </w:tc>
        <w:tc>
          <w:tcPr>
            <w:tcW w:type="dxa" w:w="1234"/>
          </w:tcPr>
          <w:p>
            <w:r>
              <w:t>16.1</w:t>
            </w:r>
          </w:p>
        </w:tc>
      </w:tr>
      <w:tr>
        <w:tc>
          <w:tcPr>
            <w:tcW w:type="dxa" w:w="1234"/>
          </w:tcPr>
          <w:p>
            <w:r>
              <w:t>男性</w:t>
            </w:r>
          </w:p>
        </w:tc>
        <w:tc>
          <w:tcPr>
            <w:tcW w:type="dxa" w:w="1234"/>
          </w:tcPr>
          <w:p>
            <w:r>
              <w:t>70s</w:t>
            </w:r>
          </w:p>
        </w:tc>
        <w:tc>
          <w:tcPr>
            <w:tcW w:type="dxa" w:w="1234"/>
          </w:tcPr>
          <w:p>
            <w:r>
              <w:t>10.4</w:t>
            </w:r>
          </w:p>
        </w:tc>
        <w:tc>
          <w:tcPr>
            <w:tcW w:type="dxa" w:w="1234"/>
          </w:tcPr>
          <w:p>
            <w:r>
              <w:t>13.4</w:t>
            </w:r>
          </w:p>
        </w:tc>
        <w:tc>
          <w:tcPr>
            <w:tcW w:type="dxa" w:w="1234"/>
          </w:tcPr>
          <w:p>
            <w:r>
              <w:t>20.8</w:t>
            </w:r>
          </w:p>
        </w:tc>
        <w:tc>
          <w:tcPr>
            <w:tcW w:type="dxa" w:w="1234"/>
          </w:tcPr>
          <w:p>
            <w:r>
              <w:t>33.2</w:t>
            </w:r>
          </w:p>
        </w:tc>
        <w:tc>
          <w:tcPr>
            <w:tcW w:type="dxa" w:w="1234"/>
          </w:tcPr>
          <w:p>
            <w:r>
              <w:t>50.0</w:t>
            </w:r>
          </w:p>
        </w:tc>
      </w:tr>
      <w:tr>
        <w:tc>
          <w:tcPr>
            <w:tcW w:type="dxa" w:w="1234"/>
          </w:tcPr>
          <w:p>
            <w:r>
              <w:t>女性</w:t>
            </w:r>
          </w:p>
        </w:tc>
        <w:tc>
          <w:tcPr>
            <w:tcW w:type="dxa" w:w="1234"/>
          </w:tcPr>
          <w:p>
            <w:r>
              <w:t>20s</w:t>
            </w:r>
          </w:p>
        </w:tc>
        <w:tc>
          <w:tcPr>
            <w:tcW w:type="dxa" w:w="1234"/>
          </w:tcPr>
          <w:p>
            <w:r>
              <w:t>0.0</w:t>
            </w:r>
          </w:p>
        </w:tc>
        <w:tc>
          <w:tcPr>
            <w:tcW w:type="dxa" w:w="1234"/>
          </w:tcPr>
          <w:p>
            <w:r>
              <w:t>0.0</w:t>
            </w:r>
          </w:p>
        </w:tc>
        <w:tc>
          <w:tcPr>
            <w:tcW w:type="dxa" w:w="1234"/>
          </w:tcPr>
          <w:p>
            <w:r>
              <w:t>0.0</w:t>
            </w:r>
          </w:p>
        </w:tc>
        <w:tc>
          <w:tcPr>
            <w:tcW w:type="dxa" w:w="1234"/>
          </w:tcPr>
          <w:p>
            <w:r>
              <w:t>0.0</w:t>
            </w:r>
          </w:p>
        </w:tc>
        <w:tc>
          <w:tcPr>
            <w:tcW w:type="dxa" w:w="1234"/>
          </w:tcPr>
          <w:p>
            <w:r>
              <w:t>0.0</w:t>
            </w:r>
          </w:p>
        </w:tc>
      </w:tr>
      <w:tr>
        <w:tc>
          <w:tcPr>
            <w:tcW w:type="dxa" w:w="1234"/>
          </w:tcPr>
          <w:p>
            <w:r>
              <w:t>女性</w:t>
            </w:r>
          </w:p>
        </w:tc>
        <w:tc>
          <w:tcPr>
            <w:tcW w:type="dxa" w:w="1234"/>
          </w:tcPr>
          <w:p>
            <w:r>
              <w:t>50s</w:t>
            </w:r>
          </w:p>
        </w:tc>
        <w:tc>
          <w:tcPr>
            <w:tcW w:type="dxa" w:w="1234"/>
          </w:tcPr>
          <w:p>
            <w:r>
              <w:t>3.1</w:t>
            </w:r>
          </w:p>
        </w:tc>
        <w:tc>
          <w:tcPr>
            <w:tcW w:type="dxa" w:w="1234"/>
          </w:tcPr>
          <w:p>
            <w:r>
              <w:t>3.7</w:t>
            </w:r>
          </w:p>
        </w:tc>
        <w:tc>
          <w:tcPr>
            <w:tcW w:type="dxa" w:w="1234"/>
          </w:tcPr>
          <w:p>
            <w:r>
              <w:t>5.0</w:t>
            </w:r>
          </w:p>
        </w:tc>
        <w:tc>
          <w:tcPr>
            <w:tcW w:type="dxa" w:w="1234"/>
          </w:tcPr>
          <w:p>
            <w:r>
              <w:t>7.4</w:t>
            </w:r>
          </w:p>
        </w:tc>
        <w:tc>
          <w:tcPr>
            <w:tcW w:type="dxa" w:w="1234"/>
          </w:tcPr>
          <w:p>
            <w:r>
              <w:t>11.9</w:t>
            </w:r>
          </w:p>
        </w:tc>
      </w:tr>
      <w:tr>
        <w:tc>
          <w:tcPr>
            <w:tcW w:type="dxa" w:w="1234"/>
          </w:tcPr>
          <w:p>
            <w:r>
              <w:t>女性</w:t>
            </w:r>
          </w:p>
        </w:tc>
        <w:tc>
          <w:tcPr>
            <w:tcW w:type="dxa" w:w="1234"/>
          </w:tcPr>
          <w:p>
            <w:r>
              <w:t>70s</w:t>
            </w:r>
          </w:p>
        </w:tc>
        <w:tc>
          <w:tcPr>
            <w:tcW w:type="dxa" w:w="1234"/>
          </w:tcPr>
          <w:p>
            <w:r>
              <w:t>11.6</w:t>
            </w:r>
          </w:p>
        </w:tc>
        <w:tc>
          <w:tcPr>
            <w:tcW w:type="dxa" w:w="1234"/>
          </w:tcPr>
          <w:p>
            <w:r>
              <w:t>14.4</w:t>
            </w:r>
          </w:p>
        </w:tc>
        <w:tc>
          <w:tcPr>
            <w:tcW w:type="dxa" w:w="1234"/>
          </w:tcPr>
          <w:p>
            <w:r>
              <w:t>19.3</w:t>
            </w:r>
          </w:p>
        </w:tc>
        <w:tc>
          <w:tcPr>
            <w:tcW w:type="dxa" w:w="1234"/>
          </w:tcPr>
          <w:p>
            <w:r>
              <w:t>27.0</w:t>
            </w:r>
          </w:p>
        </w:tc>
        <w:tc>
          <w:tcPr>
            <w:tcW w:type="dxa" w:w="1234"/>
          </w:tcPr>
          <w:p>
            <w:r>
              <w:t>38.8</w:t>
            </w:r>
          </w:p>
        </w:tc>
      </w:tr>
    </w:tbl>
    <w:p>
      <w:pPr>
        <w:pStyle w:val="Heading2"/>
      </w:pPr>
      <w:r>
        <w:t>2．適合率（適用対象別）</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項目</w:t>
            </w:r>
          </w:p>
        </w:tc>
        <w:tc>
          <w:tcPr>
            <w:tcW w:type="dxa" w:w="1440"/>
          </w:tcPr>
          <w:p>
            <w:r>
              <w:t>適合</w:t>
            </w:r>
          </w:p>
        </w:tc>
        <w:tc>
          <w:tcPr>
            <w:tcW w:type="dxa" w:w="1440"/>
          </w:tcPr>
          <w:p>
            <w:r>
              <w:t>適用n</w:t>
            </w:r>
          </w:p>
        </w:tc>
        <w:tc>
          <w:tcPr>
            <w:tcW w:type="dxa" w:w="1440"/>
          </w:tcPr>
          <w:p>
            <w:r>
              <w:t>率%</w:t>
            </w:r>
          </w:p>
        </w:tc>
        <w:tc>
          <w:tcPr>
            <w:tcW w:type="dxa" w:w="1440"/>
          </w:tcPr>
          <w:p>
            <w:r>
              <w:t>メモ</w:t>
            </w:r>
          </w:p>
        </w:tc>
      </w:tr>
      <w:tr>
        <w:tc>
          <w:tcPr>
            <w:tcW w:type="dxa" w:w="1440"/>
          </w:tcPr>
          <w:p>
            <w:r>
              <w:t>G0</w:t>
            </w:r>
          </w:p>
        </w:tc>
        <w:tc>
          <w:tcPr>
            <w:tcW w:type="dxa" w:w="1440"/>
          </w:tcPr>
          <w:p>
            <w:r>
              <w:t>要因組合せ・合成閾値セット数</w:t>
            </w:r>
          </w:p>
        </w:tc>
        <w:tc>
          <w:tcPr>
            <w:tcW w:type="dxa" w:w="1440"/>
          </w:tcPr>
          <w:p>
            <w:r>
              <w:t>9600/9600</w:t>
            </w:r>
          </w:p>
        </w:tc>
        <w:tc>
          <w:tcPr>
            <w:tcW w:type="dxa" w:w="1440"/>
          </w:tcPr>
          <w:p>
            <w:r>
              <w:t>9600</w:t>
            </w:r>
          </w:p>
        </w:tc>
        <w:tc>
          <w:tcPr>
            <w:tcW w:type="dxa" w:w="1440"/>
          </w:tcPr>
          <w:p>
            <w:r>
              <w:t>100</w:t>
            </w:r>
          </w:p>
        </w:tc>
        <w:tc>
          <w:tcPr>
            <w:tcW w:type="dxa" w:w="1440"/>
          </w:tcPr>
          <w:p>
            <w:r>
              <w:t>10プロファイル(正常1+疾患9)×6年齢×2性別×4程度×20seed</w:t>
            </w:r>
          </w:p>
        </w:tc>
      </w:tr>
      <w:tr>
        <w:tc>
          <w:tcPr>
            <w:tcW w:type="dxa" w:w="1440"/>
          </w:tcPr>
          <w:p>
            <w:r>
              <w:t>G1</w:t>
            </w:r>
          </w:p>
        </w:tc>
        <w:tc>
          <w:tcPr>
            <w:tcW w:type="dxa" w:w="1440"/>
          </w:tcPr>
          <w:p>
            <w:r>
              <w:t>条件反映（症例単位）</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G2a</w:t>
            </w:r>
          </w:p>
        </w:tc>
        <w:tc>
          <w:tcPr>
            <w:tcW w:type="dxa" w:w="1440"/>
          </w:tcPr>
          <w:p>
            <w:r>
              <w:t>5 dB丸め（症例単位：全閾値が5の倍数）</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G2b</w:t>
            </w:r>
          </w:p>
        </w:tc>
        <w:tc>
          <w:tcPr>
            <w:tcW w:type="dxa" w:w="1440"/>
          </w:tcPr>
          <w:p>
            <w:r>
              <w:t>5 dB丸め（閾値点単位）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G4a</w:t>
            </w:r>
          </w:p>
        </w:tc>
        <w:tc>
          <w:tcPr>
            <w:tcW w:type="dxa" w:w="1440"/>
          </w:tcPr>
          <w:p>
            <w:r>
              <w:t>周波数別上下限（症例単位：数値閾値がP4範囲内）</w:t>
            </w:r>
          </w:p>
        </w:tc>
        <w:tc>
          <w:tcPr>
            <w:tcW w:type="dxa" w:w="1440"/>
          </w:tcPr>
          <w:p>
            <w:r>
              <w:t>9600/9600</w:t>
            </w:r>
          </w:p>
        </w:tc>
        <w:tc>
          <w:tcPr>
            <w:tcW w:type="dxa" w:w="1440"/>
          </w:tcPr>
          <w:p>
            <w:r>
              <w:t>9600</w:t>
            </w:r>
          </w:p>
        </w:tc>
        <w:tc>
          <w:tcPr>
            <w:tcW w:type="dxa" w:w="1440"/>
          </w:tcPr>
          <w:p>
            <w:r>
              <w:t>100</w:t>
            </w:r>
          </w:p>
        </w:tc>
        <w:tc>
          <w:tcPr>
            <w:tcW w:type="dxa" w:w="1440"/>
          </w:tcPr>
          <w:p>
            <w:r>
              <w:t>境界値＝上下限一致は適合。超過・下回は不適合</w:t>
            </w:r>
          </w:p>
        </w:tc>
      </w:tr>
      <w:tr>
        <w:tc>
          <w:tcPr>
            <w:tcW w:type="dxa" w:w="1440"/>
          </w:tcPr>
          <w:p>
            <w:r>
              <w:t>G4b</w:t>
            </w:r>
          </w:p>
        </w:tc>
        <w:tc>
          <w:tcPr>
            <w:tcW w:type="dxa" w:w="1440"/>
          </w:tcPr>
          <w:p>
            <w:r>
              <w:t>周波数別上下限（閾値点単位）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G3-Normal</w:t>
            </w:r>
          </w:p>
        </w:tc>
        <w:tc>
          <w:tcPr>
            <w:tcW w:type="dxa" w:w="1440"/>
          </w:tcPr>
          <w:p>
            <w:r>
              <w:t>Normal: 過大ABGなし（症例単位）</w:t>
            </w:r>
          </w:p>
        </w:tc>
        <w:tc>
          <w:tcPr>
            <w:tcW w:type="dxa" w:w="1440"/>
          </w:tcPr>
          <w:p>
            <w:r>
              <w:t>960/960</w:t>
            </w:r>
          </w:p>
        </w:tc>
        <w:tc>
          <w:tcPr>
            <w:tcW w:type="dxa" w:w="1440"/>
          </w:tcPr>
          <w:p>
            <w:r>
              <w:t>960</w:t>
            </w:r>
          </w:p>
        </w:tc>
        <w:tc>
          <w:tcPr>
            <w:tcW w:type="dxa" w:w="1440"/>
          </w:tcPr>
          <w:p>
            <w:r>
              <w:t>100</w:t>
            </w:r>
          </w:p>
        </w:tc>
        <w:tc>
          <w:tcPr>
            <w:tcW w:type="dxa" w:w="1440"/>
          </w:tcPr>
          <w:p>
            <w:r/>
          </w:p>
        </w:tc>
      </w:tr>
      <w:tr>
        <w:tc>
          <w:tcPr>
            <w:tcW w:type="dxa" w:w="1440"/>
          </w:tcPr>
          <w:p>
            <w:r>
              <w:t>G3-SNHL</w:t>
            </w:r>
          </w:p>
        </w:tc>
        <w:tc>
          <w:tcPr>
            <w:tcW w:type="dxa" w:w="1440"/>
          </w:tcPr>
          <w:p>
            <w:r>
              <w:t>感音: BC≤AC+5（症例単位）</w:t>
            </w:r>
          </w:p>
        </w:tc>
        <w:tc>
          <w:tcPr>
            <w:tcW w:type="dxa" w:w="1440"/>
          </w:tcPr>
          <w:p>
            <w:r>
              <w:t>4800/4800</w:t>
            </w:r>
          </w:p>
        </w:tc>
        <w:tc>
          <w:tcPr>
            <w:tcW w:type="dxa" w:w="1440"/>
          </w:tcPr>
          <w:p>
            <w:r>
              <w:t>4800</w:t>
            </w:r>
          </w:p>
        </w:tc>
        <w:tc>
          <w:tcPr>
            <w:tcW w:type="dxa" w:w="1440"/>
          </w:tcPr>
          <w:p>
            <w:r>
              <w:t>100</w:t>
            </w:r>
          </w:p>
        </w:tc>
        <w:tc>
          <w:tcPr>
            <w:tcW w:type="dxa" w:w="1440"/>
          </w:tcPr>
          <w:p>
            <w:r/>
          </w:p>
        </w:tc>
      </w:tr>
      <w:tr>
        <w:tc>
          <w:tcPr>
            <w:tcW w:type="dxa" w:w="1440"/>
          </w:tcPr>
          <w:p>
            <w:r>
              <w:t>G3-CHL</w:t>
            </w:r>
          </w:p>
        </w:tc>
        <w:tc>
          <w:tcPr>
            <w:tcW w:type="dxa" w:w="1440"/>
          </w:tcPr>
          <w:p>
            <w:r>
              <w:t>伝音系4パターン: 最小ABG（症例単位。急性中耳炎の混合型を含む）</w:t>
            </w:r>
          </w:p>
        </w:tc>
        <w:tc>
          <w:tcPr>
            <w:tcW w:type="dxa" w:w="1440"/>
          </w:tcPr>
          <w:p>
            <w:r>
              <w:t>3840/3840</w:t>
            </w:r>
          </w:p>
        </w:tc>
        <w:tc>
          <w:tcPr>
            <w:tcW w:type="dxa" w:w="1440"/>
          </w:tcPr>
          <w:p>
            <w:r>
              <w:t>3840</w:t>
            </w:r>
          </w:p>
        </w:tc>
        <w:tc>
          <w:tcPr>
            <w:tcW w:type="dxa" w:w="1440"/>
          </w:tcPr>
          <w:p>
            <w:r>
              <w:t>100</w:t>
            </w:r>
          </w:p>
        </w:tc>
        <w:tc>
          <w:tcPr>
            <w:tcW w:type="dxa" w:w="1440"/>
          </w:tcPr>
          <w:p>
            <w:r/>
          </w:p>
        </w:tc>
      </w:tr>
      <w:tr>
        <w:tc>
          <w:tcPr>
            <w:tcW w:type="dxa" w:w="1440"/>
          </w:tcPr>
          <w:p>
            <w:r>
              <w:t>G3-Noise</w:t>
            </w:r>
          </w:p>
        </w:tc>
        <w:tc>
          <w:tcPr>
            <w:tcW w:type="dxa" w:w="1440"/>
          </w:tcPr>
          <w:p>
            <w:r>
              <w:t>C5-dip: 4k≥2k+10 かつ 4k≥8k+10（程度≥1）</w:t>
            </w:r>
          </w:p>
        </w:tc>
        <w:tc>
          <w:tcPr>
            <w:tcW w:type="dxa" w:w="1440"/>
          </w:tcPr>
          <w:p>
            <w:r>
              <w:t>720/720</w:t>
            </w:r>
          </w:p>
        </w:tc>
        <w:tc>
          <w:tcPr>
            <w:tcW w:type="dxa" w:w="1440"/>
          </w:tcPr>
          <w:p>
            <w:r>
              <w:t>720</w:t>
            </w:r>
          </w:p>
        </w:tc>
        <w:tc>
          <w:tcPr>
            <w:tcW w:type="dxa" w:w="1440"/>
          </w:tcPr>
          <w:p>
            <w:r>
              <w:t>100</w:t>
            </w:r>
          </w:p>
        </w:tc>
        <w:tc>
          <w:tcPr>
            <w:tcW w:type="dxa" w:w="1440"/>
          </w:tcPr>
          <w:p>
            <w:r>
              <w:t>Coles参考の著者設定（10 dB床）</w:t>
            </w:r>
          </w:p>
        </w:tc>
      </w:tr>
      <w:tr>
        <w:tc>
          <w:tcPr>
            <w:tcW w:type="dxa" w:w="1440"/>
          </w:tcPr>
          <w:p>
            <w:r>
              <w:t>G3-SuddenLat</w:t>
            </w:r>
          </w:p>
        </w:tc>
        <w:tc>
          <w:tcPr>
            <w:tcW w:type="dxa" w:w="1440"/>
          </w:tcPr>
          <w:p>
            <w:r>
              <w:t>突発一側差≥30 dB（程度≥1・0.5/1/2 kHz平均）</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G3-MumpsFloor</w:t>
            </w:r>
          </w:p>
        </w:tc>
        <w:tc>
          <w:tcPr>
            <w:tcW w:type="dxa" w:w="1440"/>
          </w:tcPr>
          <w:p>
            <w:r>
              <w:t>ムンプス: 病側meanAC≥70 かつ 一側差≥55（程度≥1）</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G3-CarhartGeom</w:t>
            </w:r>
          </w:p>
        </w:tc>
        <w:tc>
          <w:tcPr>
            <w:tcW w:type="dxa" w:w="1440"/>
          </w:tcPr>
          <w:p>
            <w:r>
              <w:t>Carhart様幾何（発現例のみ）</w:t>
            </w:r>
          </w:p>
        </w:tc>
        <w:tc>
          <w:tcPr>
            <w:tcW w:type="dxa" w:w="1440"/>
          </w:tcPr>
          <w:p>
            <w:r>
              <w:t>576/576</w:t>
            </w:r>
          </w:p>
        </w:tc>
        <w:tc>
          <w:tcPr>
            <w:tcW w:type="dxa" w:w="1440"/>
          </w:tcPr>
          <w:p>
            <w:r>
              <w:t>576</w:t>
            </w:r>
          </w:p>
        </w:tc>
        <w:tc>
          <w:tcPr>
            <w:tcW w:type="dxa" w:w="1440"/>
          </w:tcPr>
          <w:p>
            <w:r>
              <w:t>100</w:t>
            </w:r>
          </w:p>
        </w:tc>
        <w:tc>
          <w:tcPr>
            <w:tcW w:type="dxa" w:w="1440"/>
          </w:tcPr>
          <w:p>
            <w:r/>
          </w:p>
        </w:tc>
      </w:tr>
      <w:tr>
        <w:tc>
          <w:tcPr>
            <w:tcW w:type="dxa" w:w="1440"/>
          </w:tcPr>
          <w:p>
            <w:r>
              <w:t>G3-AOM-Mixed</w:t>
            </w:r>
          </w:p>
        </w:tc>
        <w:tc>
          <w:tcPr>
            <w:tcW w:type="dxa" w:w="1440"/>
          </w:tcPr>
          <w:p>
            <w:r>
              <w:t>AOM混合型: 4k BC&gt;0.5k BC（付与例）</w:t>
            </w:r>
          </w:p>
        </w:tc>
        <w:tc>
          <w:tcPr>
            <w:tcW w:type="dxa" w:w="1440"/>
          </w:tcPr>
          <w:p>
            <w:r>
              <w:t>361/361</w:t>
            </w:r>
          </w:p>
        </w:tc>
        <w:tc>
          <w:tcPr>
            <w:tcW w:type="dxa" w:w="1440"/>
          </w:tcPr>
          <w:p>
            <w:r>
              <w:t>361</w:t>
            </w:r>
          </w:p>
        </w:tc>
        <w:tc>
          <w:tcPr>
            <w:tcW w:type="dxa" w:w="1440"/>
          </w:tcPr>
          <w:p>
            <w:r>
              <w:t>100</w:t>
            </w:r>
          </w:p>
        </w:tc>
        <w:tc>
          <w:tcPr>
            <w:tcW w:type="dxa" w:w="1440"/>
          </w:tcPr>
          <w:p>
            <w:r/>
          </w:p>
        </w:tc>
      </w:tr>
      <w:tr>
        <w:tc>
          <w:tcPr>
            <w:tcW w:type="dxa" w:w="1440"/>
          </w:tcPr>
          <w:p>
            <w:r>
              <w:t>T1</w:t>
            </w:r>
          </w:p>
        </w:tc>
        <w:tc>
          <w:tcPr>
            <w:tcW w:type="dxa" w:w="1440"/>
          </w:tcPr>
          <w:p>
            <w:r>
              <w:t>年齢効果 SNHL_Age（70s−20s, 4–8k平均AC）</w:t>
            </w:r>
          </w:p>
        </w:tc>
        <w:tc>
          <w:tcPr>
            <w:tcW w:type="dxa" w:w="1440"/>
          </w:tcPr>
          <w:p>
            <w:r>
              <w:t>200/200</w:t>
            </w:r>
          </w:p>
        </w:tc>
        <w:tc>
          <w:tcPr>
            <w:tcW w:type="dxa" w:w="1440"/>
          </w:tcPr>
          <w:p>
            <w:r>
              <w:t>200</w:t>
            </w:r>
          </w:p>
        </w:tc>
        <w:tc>
          <w:tcPr>
            <w:tcW w:type="dxa" w:w="1440"/>
          </w:tcPr>
          <w:p>
            <w:r>
              <w:t>100</w:t>
            </w:r>
          </w:p>
        </w:tc>
        <w:tc>
          <w:tcPr>
            <w:tcW w:type="dxa" w:w="1440"/>
          </w:tcPr>
          <w:p>
            <w:r>
              <w:t>差の中央値 42.5 dB (IQR 37.5–47.5)</w:t>
            </w:r>
          </w:p>
        </w:tc>
      </w:tr>
      <w:tr>
        <w:tc>
          <w:tcPr>
            <w:tcW w:type="dxa" w:w="1440"/>
          </w:tcPr>
          <w:p>
            <w:r>
              <w:t>T8</w:t>
            </w:r>
          </w:p>
        </w:tc>
        <w:tc>
          <w:tcPr>
            <w:tcW w:type="dxa" w:w="1440"/>
          </w:tcPr>
          <w:p>
            <w:r>
              <w:t>程度の非減少（正常以外・同一seed・一側は患側固定）</w:t>
            </w:r>
          </w:p>
        </w:tc>
        <w:tc>
          <w:tcPr>
            <w:tcW w:type="dxa" w:w="1440"/>
          </w:tcPr>
          <w:p>
            <w:r>
              <w:t>540/540</w:t>
            </w:r>
          </w:p>
        </w:tc>
        <w:tc>
          <w:tcPr>
            <w:tcW w:type="dxa" w:w="1440"/>
          </w:tcPr>
          <w:p>
            <w:r>
              <w:t>540</w:t>
            </w:r>
          </w:p>
        </w:tc>
        <w:tc>
          <w:tcPr>
            <w:tcW w:type="dxa" w:w="1440"/>
          </w:tcPr>
          <w:p>
            <w:r>
              <w:t>100</w:t>
            </w:r>
          </w:p>
        </w:tc>
        <w:tc>
          <w:tcPr>
            <w:tcW w:type="dxa" w:w="1440"/>
          </w:tcPr>
          <w:p>
            <w:r>
              <w:t>SNHL_Age:60/60; SNHL_NoiseNotch:60/60; SNHL_Meniere:60/60; SNHL_Sudden:60/60; SNHL_Mumps:60/60; CHL_OME:60/60; CHL_AOM:6</w:t>
            </w:r>
          </w:p>
        </w:tc>
      </w:tr>
      <w:tr>
        <w:tc>
          <w:tcPr>
            <w:tcW w:type="dxa" w:w="1440"/>
          </w:tcPr>
          <w:p>
            <w:r>
              <w:t>T7</w:t>
            </w:r>
          </w:p>
        </w:tc>
        <w:tc>
          <w:tcPr>
            <w:tcW w:type="dxa" w:w="1440"/>
          </w:tcPr>
          <w:p>
            <w:r>
              <w:t>Sudden一側差≥30 dB（焦点: 程度2固定）</w:t>
            </w:r>
          </w:p>
        </w:tc>
        <w:tc>
          <w:tcPr>
            <w:tcW w:type="dxa" w:w="1440"/>
          </w:tcPr>
          <w:p>
            <w:r>
              <w:t>200/200</w:t>
            </w:r>
          </w:p>
        </w:tc>
        <w:tc>
          <w:tcPr>
            <w:tcW w:type="dxa" w:w="1440"/>
          </w:tcPr>
          <w:p>
            <w:r>
              <w:t>200</w:t>
            </w:r>
          </w:p>
        </w:tc>
        <w:tc>
          <w:tcPr>
            <w:tcW w:type="dxa" w:w="1440"/>
          </w:tcPr>
          <w:p>
            <w:r>
              <w:t>100</w:t>
            </w:r>
          </w:p>
        </w:tc>
        <w:tc>
          <w:tcPr>
            <w:tcW w:type="dxa" w:w="1440"/>
          </w:tcPr>
          <w:p>
            <w:r>
              <w:t>焦点差中央値 51.7 dB（グリッドの程度≥1規則と同じ30 dB床）</w:t>
            </w:r>
          </w:p>
        </w:tc>
      </w:tr>
      <w:tr>
        <w:tc>
          <w:tcPr>
            <w:tcW w:type="dxa" w:w="1440"/>
          </w:tcPr>
          <w:p>
            <w:r>
              <w:t>T6a</w:t>
            </w:r>
          </w:p>
        </w:tc>
        <w:tc>
          <w:tcPr>
            <w:tcW w:type="dxa" w:w="1440"/>
          </w:tcPr>
          <w:p>
            <w:r>
              <w:t>Carhart様・付与の有無（期待80%）</w:t>
            </w:r>
          </w:p>
        </w:tc>
        <w:tc>
          <w:tcPr>
            <w:tcW w:type="dxa" w:w="1440"/>
          </w:tcPr>
          <w:p>
            <w:r>
              <w:t>160/200</w:t>
            </w:r>
          </w:p>
        </w:tc>
        <w:tc>
          <w:tcPr>
            <w:tcW w:type="dxa" w:w="1440"/>
          </w:tcPr>
          <w:p>
            <w:r>
              <w:t>200</w:t>
            </w:r>
          </w:p>
        </w:tc>
        <w:tc>
          <w:tcPr>
            <w:tcW w:type="dxa" w:w="1440"/>
          </w:tcPr>
          <w:p>
            <w:r>
              <w:t>80</w:t>
            </w:r>
          </w:p>
        </w:tc>
        <w:tc>
          <w:tcPr>
            <w:tcW w:type="dxa" w:w="1440"/>
          </w:tcPr>
          <w:p>
            <w:r>
              <w:t>同じ200件での付与 160/200=80.0% (95%CI 73.9–85.0%)。許容帯70–90%は凍結正解表で事前設定。95%CIはWilson法。帯内のため試験合格</w:t>
            </w:r>
          </w:p>
        </w:tc>
      </w:tr>
      <w:tr>
        <w:tc>
          <w:tcPr>
            <w:tcW w:type="dxa" w:w="1440"/>
          </w:tcPr>
          <w:p>
            <w:r>
              <w:t>T6b</w:t>
            </w:r>
          </w:p>
        </w:tc>
        <w:tc>
          <w:tcPr>
            <w:tcW w:type="dxa" w:w="1440"/>
          </w:tcPr>
          <w:p>
            <w:r>
              <w:t>Carhart様・付与例の形（T6aと同じ200件）</w:t>
            </w:r>
          </w:p>
        </w:tc>
        <w:tc>
          <w:tcPr>
            <w:tcW w:type="dxa" w:w="1440"/>
          </w:tcPr>
          <w:p>
            <w:r>
              <w:t>160/160</w:t>
            </w:r>
          </w:p>
        </w:tc>
        <w:tc>
          <w:tcPr>
            <w:tcW w:type="dxa" w:w="1440"/>
          </w:tcPr>
          <w:p>
            <w:r>
              <w:t>160</w:t>
            </w:r>
          </w:p>
        </w:tc>
        <w:tc>
          <w:tcPr>
            <w:tcW w:type="dxa" w:w="1440"/>
          </w:tcPr>
          <w:p>
            <w:r>
              <w:t>100</w:t>
            </w:r>
          </w:p>
        </w:tc>
        <w:tc>
          <w:tcPr>
            <w:tcW w:type="dxa" w:w="1440"/>
          </w:tcPr>
          <w:p>
            <w:r>
              <w:t>T6aで付与された160件の形（160/160）</w:t>
            </w:r>
          </w:p>
        </w:tc>
      </w:tr>
      <w:tr>
        <w:tc>
          <w:tcPr>
            <w:tcW w:type="dxa" w:w="1440"/>
          </w:tcPr>
          <w:p>
            <w:r>
              <w:t>T6c</w:t>
            </w:r>
          </w:p>
        </w:tc>
        <w:tc>
          <w:tcPr>
            <w:tcW w:type="dxa" w:w="1440"/>
          </w:tcPr>
          <w:p>
            <w:r>
              <w:t>AOM混合型・付与の有無（教育用50%）</w:t>
            </w:r>
          </w:p>
        </w:tc>
        <w:tc>
          <w:tcPr>
            <w:tcW w:type="dxa" w:w="1440"/>
          </w:tcPr>
          <w:p>
            <w:r>
              <w:t>101/200</w:t>
            </w:r>
          </w:p>
        </w:tc>
        <w:tc>
          <w:tcPr>
            <w:tcW w:type="dxa" w:w="1440"/>
          </w:tcPr>
          <w:p>
            <w:r>
              <w:t>200</w:t>
            </w:r>
          </w:p>
        </w:tc>
        <w:tc>
          <w:tcPr>
            <w:tcW w:type="dxa" w:w="1440"/>
          </w:tcPr>
          <w:p>
            <w:r>
              <w:t>50.5</w:t>
            </w:r>
          </w:p>
        </w:tc>
        <w:tc>
          <w:tcPr>
            <w:tcW w:type="dxa" w:w="1440"/>
          </w:tcPr>
          <w:p>
            <w:r>
              <w:t>同じ200件での付与 101/200=50.5% (95%CI 43.6–57.4%)。許容帯40–60%は凍結正解表で事前設定。95%CIはWilson法。帯内のため試験合格。臨床発生率ではない</w:t>
            </w:r>
          </w:p>
        </w:tc>
      </w:tr>
      <w:tr>
        <w:tc>
          <w:tcPr>
            <w:tcW w:type="dxa" w:w="1440"/>
          </w:tcPr>
          <w:p>
            <w:r>
              <w:t>T6d</w:t>
            </w:r>
          </w:p>
        </w:tc>
        <w:tc>
          <w:tcPr>
            <w:tcW w:type="dxa" w:w="1440"/>
          </w:tcPr>
          <w:p>
            <w:r>
              <w:t>AOM混合型・付与例の形（T6cと同じ200件）</w:t>
            </w:r>
          </w:p>
        </w:tc>
        <w:tc>
          <w:tcPr>
            <w:tcW w:type="dxa" w:w="1440"/>
          </w:tcPr>
          <w:p>
            <w:r>
              <w:t>101/101</w:t>
            </w:r>
          </w:p>
        </w:tc>
        <w:tc>
          <w:tcPr>
            <w:tcW w:type="dxa" w:w="1440"/>
          </w:tcPr>
          <w:p>
            <w:r>
              <w:t>101</w:t>
            </w:r>
          </w:p>
        </w:tc>
        <w:tc>
          <w:tcPr>
            <w:tcW w:type="dxa" w:w="1440"/>
          </w:tcPr>
          <w:p>
            <w:r>
              <w:t>100</w:t>
            </w:r>
          </w:p>
        </w:tc>
        <w:tc>
          <w:tcPr>
            <w:tcW w:type="dxa" w:w="1440"/>
          </w:tcPr>
          <w:p>
            <w:r>
              <w:t>T6cで付与された101件の形（101/101）</w:t>
            </w:r>
          </w:p>
        </w:tc>
      </w:tr>
      <w:tr>
        <w:tc>
          <w:tcPr>
            <w:tcW w:type="dxa" w:w="1440"/>
          </w:tcPr>
          <w:p>
            <w:r>
              <w:t>T10</w:t>
            </w:r>
          </w:p>
        </w:tc>
        <w:tc>
          <w:tcPr>
            <w:tcW w:type="dxa" w:w="1440"/>
          </w:tcPr>
          <w:p>
            <w:r>
              <w:t>seed固定の決定論的再現（不一致0を目標）</w:t>
            </w:r>
          </w:p>
        </w:tc>
        <w:tc>
          <w:tcPr>
            <w:tcW w:type="dxa" w:w="1440"/>
          </w:tcPr>
          <w:p>
            <w:r>
              <w:t>200/200</w:t>
            </w:r>
          </w:p>
        </w:tc>
        <w:tc>
          <w:tcPr>
            <w:tcW w:type="dxa" w:w="1440"/>
          </w:tcPr>
          <w:p>
            <w:r>
              <w:t>200</w:t>
            </w:r>
          </w:p>
        </w:tc>
        <w:tc>
          <w:tcPr>
            <w:tcW w:type="dxa" w:w="1440"/>
          </w:tcPr>
          <w:p>
            <w:r>
              <w:t>100</w:t>
            </w:r>
          </w:p>
        </w:tc>
        <w:tc>
          <w:tcPr>
            <w:tcW w:type="dxa" w:w="1440"/>
          </w:tcPr>
          <w:p>
            <w:r>
              <w:t>不一致 0</w:t>
            </w:r>
          </w:p>
        </w:tc>
      </w:tr>
      <w:tr>
        <w:tc>
          <w:tcPr>
            <w:tcW w:type="dxa" w:w="1440"/>
          </w:tcPr>
          <w:p>
            <w:r>
              <w:t>T11</w:t>
            </w:r>
          </w:p>
        </w:tc>
        <w:tc>
          <w:tcPr>
            <w:tcW w:type="dxa" w:w="1440"/>
          </w:tcPr>
          <w:p>
            <w:r>
              <w:t>同一条件・異seedの出力多様性（記述・合否基準なし）</w:t>
            </w:r>
          </w:p>
        </w:tc>
        <w:tc>
          <w:tcPr>
            <w:tcW w:type="dxa" w:w="1440"/>
          </w:tcPr>
          <w:p>
            <w:r>
              <w:t>—</w:t>
            </w:r>
          </w:p>
        </w:tc>
        <w:tc>
          <w:tcPr>
            <w:tcW w:type="dxa" w:w="1440"/>
          </w:tcPr>
          <w:p>
            <w:r>
              <w:t>—</w:t>
            </w:r>
          </w:p>
        </w:tc>
        <w:tc>
          <w:tcPr>
            <w:tcW w:type="dxa" w:w="1440"/>
          </w:tcPr>
          <w:p>
            <w:r>
              <w:t>—</w:t>
            </w:r>
          </w:p>
        </w:tc>
        <w:tc>
          <w:tcPr>
            <w:tcW w:type="dxa" w:w="1440"/>
          </w:tcPr>
          <w:p>
            <w:r>
              <w:t>記述。合否基準なし。全件不一致は非要求。条件表は下表。</w:t>
            </w:r>
          </w:p>
        </w:tc>
      </w:tr>
    </w:tbl>
    <w:p/>
    <w:p>
      <w:pPr>
        <w:pStyle w:val="Heading3"/>
      </w:pPr>
      <w:r>
        <w:t>T11の実行条件（乱数初期値のみ変更）</w:t>
      </w:r>
    </w:p>
    <w:p>
      <w:r>
        <w:t>年齢・性別・疾患パターン・難聴程度を固定し、乱数初期値のみを変えて各200件を生成した。左右の気導・骨導が一組として完全に一致する場合を同一の閾値セットと数えた。全件不一致は合格条件ではない（5 dB丸めにより偶然一致しうる）。観測では各条件とも200通りであった。</w:t>
      </w:r>
    </w:p>
    <w:p>
      <w:r>
        <w:t>乱数初期値は各条件の基準値に0〜199を加えた連番である（条件1：80000＋i、条件2：81000＋i、条件3：82000＋i）。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条件</w:t>
            </w:r>
          </w:p>
        </w:tc>
        <w:tc>
          <w:tcPr>
            <w:tcW w:type="dxa" w:w="1080"/>
          </w:tcPr>
          <w:p>
            <w:r>
              <w:t>年齢群</w:t>
            </w:r>
          </w:p>
        </w:tc>
        <w:tc>
          <w:tcPr>
            <w:tcW w:type="dxa" w:w="1080"/>
          </w:tcPr>
          <w:p>
            <w:r>
              <w:t>性別</w:t>
            </w:r>
          </w:p>
        </w:tc>
        <w:tc>
          <w:tcPr>
            <w:tcW w:type="dxa" w:w="1080"/>
          </w:tcPr>
          <w:p>
            <w:r>
              <w:t>疾患パターン</w:t>
            </w:r>
          </w:p>
        </w:tc>
        <w:tc>
          <w:tcPr>
            <w:tcW w:type="dxa" w:w="1080"/>
          </w:tcPr>
          <w:p>
            <w:r>
              <w:t>程度</w:t>
            </w:r>
          </w:p>
        </w:tc>
        <w:tc>
          <w:tcPr>
            <w:tcW w:type="dxa" w:w="1080"/>
          </w:tcPr>
          <w:p>
            <w:r>
              <w:t>生成数</w:t>
            </w:r>
          </w:p>
        </w:tc>
        <w:tc>
          <w:tcPr>
            <w:tcW w:type="dxa" w:w="1080"/>
          </w:tcPr>
          <w:p>
            <w:r>
              <w:t>異なる閾値セット数</w:t>
            </w:r>
          </w:p>
        </w:tc>
        <w:tc>
          <w:tcPr>
            <w:tcW w:type="dxa" w:w="1080"/>
          </w:tcPr>
          <w:p>
            <w:r>
              <w:t>乱数初期値</w:t>
            </w:r>
          </w:p>
        </w:tc>
      </w:tr>
      <w:tr>
        <w:tc>
          <w:tcPr>
            <w:tcW w:type="dxa" w:w="1080"/>
          </w:tcPr>
          <w:p>
            <w:r>
              <w:t>1</w:t>
            </w:r>
          </w:p>
        </w:tc>
        <w:tc>
          <w:tcPr>
            <w:tcW w:type="dxa" w:w="1080"/>
          </w:tcPr>
          <w:p>
            <w:r>
              <w:t>50歳代</w:t>
            </w:r>
          </w:p>
        </w:tc>
        <w:tc>
          <w:tcPr>
            <w:tcW w:type="dxa" w:w="1080"/>
          </w:tcPr>
          <w:p>
            <w:r>
              <w:t>男性</w:t>
            </w:r>
          </w:p>
        </w:tc>
        <w:tc>
          <w:tcPr>
            <w:tcW w:type="dxa" w:w="1080"/>
          </w:tcPr>
          <w:p>
            <w:r>
              <w:t>騒音性難聴</w:t>
            </w:r>
          </w:p>
        </w:tc>
        <w:tc>
          <w:tcPr>
            <w:tcW w:type="dxa" w:w="1080"/>
          </w:tcPr>
          <w:p>
            <w:r>
              <w:t>中等度</w:t>
            </w:r>
          </w:p>
        </w:tc>
        <w:tc>
          <w:tcPr>
            <w:tcW w:type="dxa" w:w="1080"/>
          </w:tcPr>
          <w:p>
            <w:r>
              <w:t>200</w:t>
            </w:r>
          </w:p>
        </w:tc>
        <w:tc>
          <w:tcPr>
            <w:tcW w:type="dxa" w:w="1080"/>
          </w:tcPr>
          <w:p>
            <w:r>
              <w:t>200</w:t>
            </w:r>
          </w:p>
        </w:tc>
        <w:tc>
          <w:tcPr>
            <w:tcW w:type="dxa" w:w="1080"/>
          </w:tcPr>
          <w:p>
            <w:r>
              <w:t>80000–80199</w:t>
            </w:r>
          </w:p>
        </w:tc>
      </w:tr>
      <w:tr>
        <w:tc>
          <w:tcPr>
            <w:tcW w:type="dxa" w:w="1080"/>
          </w:tcPr>
          <w:p>
            <w:r>
              <w:t>2</w:t>
            </w:r>
          </w:p>
        </w:tc>
        <w:tc>
          <w:tcPr>
            <w:tcW w:type="dxa" w:w="1080"/>
          </w:tcPr>
          <w:p>
            <w:r>
              <w:t>40歳代</w:t>
            </w:r>
          </w:p>
        </w:tc>
        <w:tc>
          <w:tcPr>
            <w:tcW w:type="dxa" w:w="1080"/>
          </w:tcPr>
          <w:p>
            <w:r>
              <w:t>女性</w:t>
            </w:r>
          </w:p>
        </w:tc>
        <w:tc>
          <w:tcPr>
            <w:tcW w:type="dxa" w:w="1080"/>
          </w:tcPr>
          <w:p>
            <w:r>
              <w:t>滲出性中耳炎</w:t>
            </w:r>
          </w:p>
        </w:tc>
        <w:tc>
          <w:tcPr>
            <w:tcW w:type="dxa" w:w="1080"/>
          </w:tcPr>
          <w:p>
            <w:r>
              <w:t>中等度</w:t>
            </w:r>
          </w:p>
        </w:tc>
        <w:tc>
          <w:tcPr>
            <w:tcW w:type="dxa" w:w="1080"/>
          </w:tcPr>
          <w:p>
            <w:r>
              <w:t>200</w:t>
            </w:r>
          </w:p>
        </w:tc>
        <w:tc>
          <w:tcPr>
            <w:tcW w:type="dxa" w:w="1080"/>
          </w:tcPr>
          <w:p>
            <w:r>
              <w:t>200</w:t>
            </w:r>
          </w:p>
        </w:tc>
        <w:tc>
          <w:tcPr>
            <w:tcW w:type="dxa" w:w="1080"/>
          </w:tcPr>
          <w:p>
            <w:r>
              <w:t>81000–81199</w:t>
            </w:r>
          </w:p>
        </w:tc>
      </w:tr>
      <w:tr>
        <w:tc>
          <w:tcPr>
            <w:tcW w:type="dxa" w:w="1080"/>
          </w:tcPr>
          <w:p>
            <w:r>
              <w:t>3</w:t>
            </w:r>
          </w:p>
        </w:tc>
        <w:tc>
          <w:tcPr>
            <w:tcW w:type="dxa" w:w="1080"/>
          </w:tcPr>
          <w:p>
            <w:r>
              <w:t>40歳代</w:t>
            </w:r>
          </w:p>
        </w:tc>
        <w:tc>
          <w:tcPr>
            <w:tcW w:type="dxa" w:w="1080"/>
          </w:tcPr>
          <w:p>
            <w:r>
              <w:t>男性</w:t>
            </w:r>
          </w:p>
        </w:tc>
        <w:tc>
          <w:tcPr>
            <w:tcW w:type="dxa" w:w="1080"/>
          </w:tcPr>
          <w:p>
            <w:r>
              <w:t>正常</w:t>
            </w:r>
          </w:p>
        </w:tc>
        <w:tc>
          <w:tcPr>
            <w:tcW w:type="dxa" w:w="1080"/>
          </w:tcPr>
          <w:p>
            <w:r>
              <w:t>なし</w:t>
            </w:r>
          </w:p>
        </w:tc>
        <w:tc>
          <w:tcPr>
            <w:tcW w:type="dxa" w:w="1080"/>
          </w:tcPr>
          <w:p>
            <w:r>
              <w:t>200</w:t>
            </w:r>
          </w:p>
        </w:tc>
        <w:tc>
          <w:tcPr>
            <w:tcW w:type="dxa" w:w="1080"/>
          </w:tcPr>
          <w:p>
            <w:r>
              <w:t>200</w:t>
            </w:r>
          </w:p>
        </w:tc>
        <w:tc>
          <w:tcPr>
            <w:tcW w:type="dxa" w:w="1080"/>
          </w:tcPr>
          <w:p>
            <w:r>
              <w:t>82000–82199</w:t>
            </w:r>
          </w:p>
        </w:tc>
      </w:tr>
    </w:tbl>
    <w:p>
      <w:pPr>
        <w:pStyle w:val="Heading2"/>
      </w:pPr>
      <w:r>
        <w:t>3．検証・記述統計指標の定義</w:t>
      </w:r>
    </w:p>
    <w:p>
      <w:r>
        <w:t>・一側差（突発性難聴・ムンプス難聴）：病側と対側の気導閾値の差。0.5、1、2 kHzの単純平均気導で算出した。</w:t>
      </w:r>
    </w:p>
    <w:p>
      <w:r>
        <w:t>・突発性難聴の左右差規則（程度≥1）：上記一側差が30 dB以上。</w:t>
      </w:r>
    </w:p>
    <w:p>
      <w:r>
        <w:t>・ムンプス難聴の高度床（程度≥1）：病側平均気導≥70 dBかつ一側差≥55 dB。学習者向け無作為選択では軽度を選ばないが、検証グリッドでは程度1も明示指定で生成し、深度は中等度相当として高度床を満たす。</w:t>
      </w:r>
    </w:p>
    <w:p>
      <w:r>
        <w:t>・加齢効果（T1）：70歳代と20歳代の4、8 kHz気導の単純平均の差。</w:t>
      </w:r>
    </w:p>
    <w:p>
      <w:r>
        <w:t>・C5-dipの深さ：4 kHz−2 kHzおよび4 kHz−8 kHz（気導、程度≥1）。規則は双方に10 dB床を課す。</w:t>
      </w:r>
    </w:p>
    <w:p>
      <w:r>
        <w:t>・Carhart様の深さ：BC 2 kHz − mean(BC 1 kHz, BC 4 kHz)（付与例）。深さ床は5 dB（識別可能な最小切痕としての著者設定）。</w:t>
      </w:r>
    </w:p>
    <w:p>
      <w:r>
        <w:t>・伝音ABG：病側・骨導測定周波数（0.25–4 kHz）ごとの気導−骨導。記述統計の集計には規則の対象外周波数も含む。対象外周波数では教育用に骨導≤気導＋5 dBを許容するため、ABGとして−5 dBが観測されうる。</w:t>
      </w:r>
    </w:p>
    <w:p>
      <w:r>
        <w:t>・スケールアウト（SO）：当該周波数の教育用気導上限値を数値として保持しSOフラグを付す。上限＋5 dB等の外挿代入は行わない。一側差・平均の算出はこの数値を用いる。</w:t>
      </w:r>
    </w:p>
    <w:p>
      <w:pPr>
        <w:pStyle w:val="Heading2"/>
      </w:pPr>
      <w:r>
        <w:t>4．記述統計（グリッド由来）</w:t>
      </w:r>
    </w:p>
    <w:p>
      <w:r>
        <w:t>・伝音ABG（病側・骨導周波数・一括）：n=19200、中央値15.0 dB（四分位範囲10.0–25.0、範囲-5.0–50.0）。※規則の対象外周波数も含むため最小値に−5 dBが観測された。規則指定周波数では所定の最小ABGを満たした。</w:t>
      </w:r>
    </w:p>
    <w:p>
      <w:r>
        <w:t>・伝音ABG・滲出性中耳炎：n=4800、中央値15.0 dB（四分位範囲10.0–20.0、範囲-5.0–40.0）</w:t>
      </w:r>
    </w:p>
    <w:p>
      <w:r>
        <w:t>・伝音ABG・急性中耳炎・伝音型：n=2995、中央値15.0 dB（四分位範囲10.0–20.0、範囲-5.0–40.0）</w:t>
      </w:r>
    </w:p>
    <w:p>
      <w:r>
        <w:t>・伝音ABG・急性中耳炎・混合型：n=1805、中央値15.0 dB（四分位範囲10.0–20.0、範囲0.0–40.0）</w:t>
      </w:r>
    </w:p>
    <w:p>
      <w:r>
        <w:t>・伝音ABG・耳硬化症：n=4800、中央値15.0 dB（四分位範囲5.0–20.0、範囲-5.0–40.0）</w:t>
      </w:r>
    </w:p>
    <w:p>
      <w:r>
        <w:t>・伝音ABG・耳小骨連鎖離断パターン：n=4800、中央値30.0 dB（四分位範囲25.0–40.0、範囲15.0–50.0）</w:t>
      </w:r>
    </w:p>
    <w:p>
      <w:r>
        <w:t>・C5-dipの深さ（4 kHz−2 kHz気導、程度≥1）：n=720、中央値25.0 dB（四分位範囲20.0–30.0、範囲10.0–65.0）</w:t>
      </w:r>
    </w:p>
    <w:p>
      <w:r>
        <w:t>・C5-dipの深さ（4 kHz−8 kHz気導、程度≥1）：n=720、中央値15.0 dB（四分位範囲10.0–20.0、範囲10.0–45.0）</w:t>
      </w:r>
    </w:p>
    <w:p>
      <w:r>
        <w:t>・C5-dipの深さ（min(4k−2k, 4k−8k)、程度≥1）：n=720、中央値15.0 dB（四分位範囲10.0–20.0、範囲10.0–35.0）</w:t>
      </w:r>
    </w:p>
    <w:p>
      <w:r>
        <w:t>・Carhart様の深さ（付与例）：n=576、中央値7.5 dB（四分位範囲7.5–12.5、範囲5.0–22.5）</w:t>
      </w:r>
    </w:p>
    <w:p>
      <w:r>
        <w:t>・一側差 Sudden（程度≥1全体）：n=720、中央値51.7 dB（四分位範囲40.0–70.0、範囲30.0–108.3）</w:t>
      </w:r>
    </w:p>
    <w:p>
      <w:r>
        <w:t>・一側差 Sudden 程度1／2／3：中央値36.7／51.7／73.3 dB（各n=240）。程度≥1は全例≥30 dB。</w:t>
      </w:r>
    </w:p>
    <w:p>
      <w:r>
        <w:t>・一側差 Mumps（程度≥1全体）：n=720、中央値95.0 dB（四分位範囲86.7–106.7、範囲78.3–108.3）</w:t>
      </w:r>
    </w:p>
    <w:p>
      <w:r>
        <w:t>・一側差 Mumps 程度1／2／3：中央値89.2／90.0／96.7 dB（各n=240）。程度次元は高度床によりほぼ縮退している。</w:t>
      </w:r>
    </w:p>
    <w:p>
      <w:r>
        <w:t>・Sudden SO（程度≥1）：なし555件、高音域のみ139件、全周26件。程度2では高音域のみ51件・全周0件、程度3では高音域のみ88件・全周26件。</w:t>
      </w:r>
    </w:p>
    <w:p>
      <w:r>
        <w:t>・Mumps 全周SO（程度≥1）：354/720（49.2%）</w:t>
      </w:r>
    </w:p>
    <w:p>
      <w:r>
        <w:t>・床規則の別掲（全周SOを除く）：突発一側差 694/694、突発程度3 214/214、ムンプス 366/366、ムンプス（0.5/1/2 kHzにSOなし） 366/366。主合否の720/720はSOを含めた評価である。</w:t>
      </w:r>
    </w:p>
    <w:p>
      <w:r>
        <w:t>・Carhart様変化：グリッド576/720（80.0%）。T6a/T6bは同じ200件（中等度）。</w:t>
      </w:r>
    </w:p>
    <w:p>
      <w:r>
        <w:t>・AOM混合型：グリッド361/720（50.1%）。T6c/T6dは同じ200件（中等度）。</w:t>
      </w:r>
    </w:p>
    <w:p>
      <w:pPr>
        <w:pStyle w:val="Heading2"/>
      </w:pPr>
      <w:r>
        <w:t>5．異常系テスト（意図的異常挿入）</w:t>
      </w:r>
    </w:p>
    <w:p>
      <w:r>
        <w:t>正常・適合データ13項目と規則違反データ18項目の計31項目。規則違反18件はすべて不適合と判定された。生成プログラム本体の改変ではなく、正常生成結果または合成閾値に意図的変更を加えて検証スクリプトへ入力した。</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意図的な異常</w:t>
            </w:r>
          </w:p>
        </w:tc>
        <w:tc>
          <w:tcPr>
            <w:tcW w:type="dxa" w:w="2880"/>
          </w:tcPr>
          <w:p>
            <w:r>
              <w:t>期待</w:t>
            </w:r>
          </w:p>
        </w:tc>
      </w:tr>
      <w:tr>
        <w:tc>
          <w:tcPr>
            <w:tcW w:type="dxa" w:w="2880"/>
          </w:tcPr>
          <w:p>
            <w:r>
              <w:t>B1–B13</w:t>
            </w:r>
          </w:p>
        </w:tc>
        <w:tc>
          <w:tcPr>
            <w:tcW w:type="dxa" w:w="2880"/>
          </w:tcPr>
          <w:p>
            <w:r>
              <w:t>正常・適合データ（上限境界・ムンプス床を含む）</w:t>
            </w:r>
          </w:p>
        </w:tc>
        <w:tc>
          <w:tcPr>
            <w:tcW w:type="dxa" w:w="2880"/>
          </w:tcPr>
          <w:p>
            <w:r>
              <w:t>PASS</w:t>
            </w:r>
          </w:p>
        </w:tc>
      </w:tr>
      <w:tr>
        <w:tc>
          <w:tcPr>
            <w:tcW w:type="dxa" w:w="2880"/>
          </w:tcPr>
          <w:p>
            <w:r>
              <w:t>M3</w:t>
            </w:r>
          </w:p>
        </w:tc>
        <w:tc>
          <w:tcPr>
            <w:tcW w:type="dxa" w:w="2880"/>
          </w:tcPr>
          <w:p>
            <w:r>
              <w:t>5 dB刻みを外した43 dB</w:t>
            </w:r>
          </w:p>
        </w:tc>
        <w:tc>
          <w:tcPr>
            <w:tcW w:type="dxa" w:w="2880"/>
          </w:tcPr>
          <w:p>
            <w:r>
              <w:t>FAIL</w:t>
            </w:r>
          </w:p>
        </w:tc>
      </w:tr>
      <w:tr>
        <w:tc>
          <w:tcPr>
            <w:tcW w:type="dxa" w:w="2880"/>
          </w:tcPr>
          <w:p>
            <w:r>
              <w:t>M6</w:t>
            </w:r>
          </w:p>
        </w:tc>
        <w:tc>
          <w:tcPr>
            <w:tcW w:type="dxa" w:w="2880"/>
          </w:tcPr>
          <w:p>
            <w:r>
              <w:t>正常例でABG 20 dB</w:t>
            </w:r>
          </w:p>
        </w:tc>
        <w:tc>
          <w:tcPr>
            <w:tcW w:type="dxa" w:w="2880"/>
          </w:tcPr>
          <w:p>
            <w:r>
              <w:t>FAIL</w:t>
            </w:r>
          </w:p>
        </w:tc>
      </w:tr>
      <w:tr>
        <w:tc>
          <w:tcPr>
            <w:tcW w:type="dxa" w:w="2880"/>
          </w:tcPr>
          <w:p>
            <w:r>
              <w:t>M7</w:t>
            </w:r>
          </w:p>
        </w:tc>
        <w:tc>
          <w:tcPr>
            <w:tcW w:type="dxa" w:w="2880"/>
          </w:tcPr>
          <w:p>
            <w:r>
              <w:t>感音難聴でBCがACより大きく上昇</w:t>
            </w:r>
          </w:p>
        </w:tc>
        <w:tc>
          <w:tcPr>
            <w:tcW w:type="dxa" w:w="2880"/>
          </w:tcPr>
          <w:p>
            <w:r>
              <w:t>FAIL</w:t>
            </w:r>
          </w:p>
        </w:tc>
      </w:tr>
      <w:tr>
        <w:tc>
          <w:tcPr>
            <w:tcW w:type="dxa" w:w="2880"/>
          </w:tcPr>
          <w:p>
            <w:r>
              <w:t>M2</w:t>
            </w:r>
          </w:p>
        </w:tc>
        <w:tc>
          <w:tcPr>
            <w:tcW w:type="dxa" w:w="2880"/>
          </w:tcPr>
          <w:p>
            <w:r>
              <w:t>伝音難聴で必要ABGを消失</w:t>
            </w:r>
          </w:p>
        </w:tc>
        <w:tc>
          <w:tcPr>
            <w:tcW w:type="dxa" w:w="2880"/>
          </w:tcPr>
          <w:p>
            <w:r>
              <w:t>FAIL</w:t>
            </w:r>
          </w:p>
        </w:tc>
      </w:tr>
      <w:tr>
        <w:tc>
          <w:tcPr>
            <w:tcW w:type="dxa" w:w="2880"/>
          </w:tcPr>
          <w:p>
            <w:r>
              <w:t>M1</w:t>
            </w:r>
          </w:p>
        </w:tc>
        <w:tc>
          <w:tcPr>
            <w:tcW w:type="dxa" w:w="2880"/>
          </w:tcPr>
          <w:p>
            <w:r>
              <w:t>騒音性難聴でC5-dip消失</w:t>
            </w:r>
          </w:p>
        </w:tc>
        <w:tc>
          <w:tcPr>
            <w:tcW w:type="dxa" w:w="2880"/>
          </w:tcPr>
          <w:p>
            <w:r>
              <w:t>FAIL</w:t>
            </w:r>
          </w:p>
        </w:tc>
      </w:tr>
      <w:tr>
        <w:tc>
          <w:tcPr>
            <w:tcW w:type="dxa" w:w="2880"/>
          </w:tcPr>
          <w:p>
            <w:r>
              <w:t>M4</w:t>
            </w:r>
          </w:p>
        </w:tc>
        <w:tc>
          <w:tcPr>
            <w:tcW w:type="dxa" w:w="2880"/>
          </w:tcPr>
          <w:p>
            <w:r>
              <w:t>突発性難聴で左右差&lt;30 dB</w:t>
            </w:r>
          </w:p>
        </w:tc>
        <w:tc>
          <w:tcPr>
            <w:tcW w:type="dxa" w:w="2880"/>
          </w:tcPr>
          <w:p>
            <w:r>
              <w:t>FAIL</w:t>
            </w:r>
          </w:p>
        </w:tc>
      </w:tr>
      <w:tr>
        <w:tc>
          <w:tcPr>
            <w:tcW w:type="dxa" w:w="2880"/>
          </w:tcPr>
          <w:p>
            <w:r>
              <w:t>M12</w:t>
            </w:r>
          </w:p>
        </w:tc>
        <w:tc>
          <w:tcPr>
            <w:tcW w:type="dxa" w:w="2880"/>
          </w:tcPr>
          <w:p>
            <w:r>
              <w:t>程度を上げたのに閾値が低下</w:t>
            </w:r>
          </w:p>
        </w:tc>
        <w:tc>
          <w:tcPr>
            <w:tcW w:type="dxa" w:w="2880"/>
          </w:tcPr>
          <w:p>
            <w:r>
              <w:t>FAIL</w:t>
            </w:r>
          </w:p>
        </w:tc>
      </w:tr>
      <w:tr>
        <w:tc>
          <w:tcPr>
            <w:tcW w:type="dxa" w:w="2880"/>
          </w:tcPr>
          <w:p>
            <w:r>
              <w:t>M5</w:t>
            </w:r>
          </w:p>
        </w:tc>
        <w:tc>
          <w:tcPr>
            <w:tcW w:type="dxa" w:w="2880"/>
          </w:tcPr>
          <w:p>
            <w:r>
              <w:t>Carhart様変化の2 kHz BC上昇を消失</w:t>
            </w:r>
          </w:p>
        </w:tc>
        <w:tc>
          <w:tcPr>
            <w:tcW w:type="dxa" w:w="2880"/>
          </w:tcPr>
          <w:p>
            <w:r>
              <w:t>FAIL</w:t>
            </w:r>
          </w:p>
        </w:tc>
      </w:tr>
      <w:tr>
        <w:tc>
          <w:tcPr>
            <w:tcW w:type="dxa" w:w="2880"/>
          </w:tcPr>
          <w:p>
            <w:r>
              <w:t>M13</w:t>
            </w:r>
          </w:p>
        </w:tc>
        <w:tc>
          <w:tcPr>
            <w:tcW w:type="dxa" w:w="2880"/>
          </w:tcPr>
          <w:p>
            <w:r>
              <w:t>規定外のスケールアウト（NormalにSO）</w:t>
            </w:r>
          </w:p>
        </w:tc>
        <w:tc>
          <w:tcPr>
            <w:tcW w:type="dxa" w:w="2880"/>
          </w:tcPr>
          <w:p>
            <w:r>
              <w:t>FAIL</w:t>
            </w:r>
          </w:p>
        </w:tc>
      </w:tr>
      <w:tr>
        <w:tc>
          <w:tcPr>
            <w:tcW w:type="dxa" w:w="2880"/>
          </w:tcPr>
          <w:p>
            <w:r>
              <w:t>M8</w:t>
            </w:r>
          </w:p>
        </w:tc>
        <w:tc>
          <w:tcPr>
            <w:tcW w:type="dxa" w:w="2880"/>
          </w:tcPr>
          <w:p>
            <w:r>
              <w:t>メタ疾患名と閾値の不一致</w:t>
            </w:r>
          </w:p>
        </w:tc>
        <w:tc>
          <w:tcPr>
            <w:tcW w:type="dxa" w:w="2880"/>
          </w:tcPr>
          <w:p>
            <w:r>
              <w:t>FAIL</w:t>
            </w:r>
          </w:p>
        </w:tc>
      </w:tr>
      <w:tr>
        <w:tc>
          <w:tcPr>
            <w:tcW w:type="dxa" w:w="2880"/>
          </w:tcPr>
          <w:p>
            <w:r>
              <w:t>M10</w:t>
            </w:r>
          </w:p>
        </w:tc>
        <w:tc>
          <w:tcPr>
            <w:tcW w:type="dxa" w:w="2880"/>
          </w:tcPr>
          <w:p>
            <w:r>
              <w:t>C1周波数がSOのみ</w:t>
            </w:r>
          </w:p>
        </w:tc>
        <w:tc>
          <w:tcPr>
            <w:tcW w:type="dxa" w:w="2880"/>
          </w:tcPr>
          <w:p>
            <w:r>
              <w:t>FAIL</w:t>
            </w:r>
          </w:p>
        </w:tc>
      </w:tr>
      <w:tr>
        <w:tc>
          <w:tcPr>
            <w:tcW w:type="dxa" w:w="2880"/>
          </w:tcPr>
          <w:p>
            <w:r>
              <w:t>M14</w:t>
            </w:r>
          </w:p>
        </w:tc>
        <w:tc>
          <w:tcPr>
            <w:tcW w:type="dxa" w:w="2880"/>
          </w:tcPr>
          <w:p>
            <w:r>
              <w:t>AOM混合型で4 kHz骨導上昇を消失</w:t>
            </w:r>
          </w:p>
        </w:tc>
        <w:tc>
          <w:tcPr>
            <w:tcW w:type="dxa" w:w="2880"/>
          </w:tcPr>
          <w:p>
            <w:r>
              <w:t>FAIL</w:t>
            </w:r>
          </w:p>
        </w:tc>
      </w:tr>
      <w:tr>
        <w:tc>
          <w:tcPr>
            <w:tcW w:type="dxa" w:w="2880"/>
          </w:tcPr>
          <w:p>
            <w:r>
              <w:t>M15</w:t>
            </w:r>
          </w:p>
        </w:tc>
        <w:tc>
          <w:tcPr>
            <w:tcW w:type="dxa" w:w="2880"/>
          </w:tcPr>
          <w:p>
            <w:r>
              <w:t>気導上限超過（上限＋5）</w:t>
            </w:r>
          </w:p>
        </w:tc>
        <w:tc>
          <w:tcPr>
            <w:tcW w:type="dxa" w:w="2880"/>
          </w:tcPr>
          <w:p>
            <w:r>
              <w:t>FAIL</w:t>
            </w:r>
          </w:p>
        </w:tc>
      </w:tr>
      <w:tr>
        <w:tc>
          <w:tcPr>
            <w:tcW w:type="dxa" w:w="2880"/>
          </w:tcPr>
          <w:p>
            <w:r>
              <w:t>M16</w:t>
            </w:r>
          </w:p>
        </w:tc>
        <w:tc>
          <w:tcPr>
            <w:tcW w:type="dxa" w:w="2880"/>
          </w:tcPr>
          <w:p>
            <w:r>
              <w:t>骨導上限超過（上限＋5）</w:t>
            </w:r>
          </w:p>
        </w:tc>
        <w:tc>
          <w:tcPr>
            <w:tcW w:type="dxa" w:w="2880"/>
          </w:tcPr>
          <w:p>
            <w:r>
              <w:t>FAIL</w:t>
            </w:r>
          </w:p>
        </w:tc>
      </w:tr>
      <w:tr>
        <w:tc>
          <w:tcPr>
            <w:tcW w:type="dxa" w:w="2880"/>
          </w:tcPr>
          <w:p>
            <w:r>
              <w:t>M17</w:t>
            </w:r>
          </w:p>
        </w:tc>
        <w:tc>
          <w:tcPr>
            <w:tcW w:type="dxa" w:w="2880"/>
          </w:tcPr>
          <w:p>
            <w:r>
              <w:t>気導下限未満（下限−5）</w:t>
            </w:r>
          </w:p>
        </w:tc>
        <w:tc>
          <w:tcPr>
            <w:tcW w:type="dxa" w:w="2880"/>
          </w:tcPr>
          <w:p>
            <w:r>
              <w:t>FAIL</w:t>
            </w:r>
          </w:p>
        </w:tc>
      </w:tr>
      <w:tr>
        <w:tc>
          <w:tcPr>
            <w:tcW w:type="dxa" w:w="2880"/>
          </w:tcPr>
          <w:p>
            <w:r>
              <w:t>M18</w:t>
            </w:r>
          </w:p>
        </w:tc>
        <w:tc>
          <w:tcPr>
            <w:tcW w:type="dxa" w:w="2880"/>
          </w:tcPr>
          <w:p>
            <w:r>
              <w:t>骨導下限未満（下限−5）</w:t>
            </w:r>
          </w:p>
        </w:tc>
        <w:tc>
          <w:tcPr>
            <w:tcW w:type="dxa" w:w="2880"/>
          </w:tcPr>
          <w:p>
            <w:r>
              <w:t>FAIL</w:t>
            </w:r>
          </w:p>
        </w:tc>
      </w:tr>
      <w:tr>
        <w:tc>
          <w:tcPr>
            <w:tcW w:type="dxa" w:w="2880"/>
          </w:tcPr>
          <w:p>
            <w:r>
              <w:t>M19</w:t>
            </w:r>
          </w:p>
        </w:tc>
        <w:tc>
          <w:tcPr>
            <w:tcW w:type="dxa" w:w="2880"/>
          </w:tcPr>
          <w:p>
            <w:r>
              <w:t>C5-dipが5 dBのみ（10 dB床未満）</w:t>
            </w:r>
          </w:p>
        </w:tc>
        <w:tc>
          <w:tcPr>
            <w:tcW w:type="dxa" w:w="2880"/>
          </w:tcPr>
          <w:p>
            <w:r>
              <w:t>FAIL</w:t>
            </w:r>
          </w:p>
        </w:tc>
      </w:tr>
      <w:tr>
        <w:tc>
          <w:tcPr>
            <w:tcW w:type="dxa" w:w="2880"/>
          </w:tcPr>
          <w:p>
            <w:r>
              <w:t>M20</w:t>
            </w:r>
          </w:p>
        </w:tc>
        <w:tc>
          <w:tcPr>
            <w:tcW w:type="dxa" w:w="2880"/>
          </w:tcPr>
          <w:p>
            <w:r>
              <w:t>ムンプスで病側平均が高度床未満</w:t>
            </w:r>
          </w:p>
        </w:tc>
        <w:tc>
          <w:tcPr>
            <w:tcW w:type="dxa" w:w="2880"/>
          </w:tcPr>
          <w:p>
            <w:r>
              <w:t>FAIL</w:t>
            </w:r>
          </w:p>
        </w:tc>
      </w:tr>
    </w:tbl>
    <w:p>
      <w:r>
        <w:t>NaNや必要周波数の欠損など、生成器が通常出力しない無効値は本稿の異常系対象外とした。</w:t>
      </w:r>
    </w:p>
    <w:p>
      <w:pPr>
        <w:pStyle w:val="Heading2"/>
      </w:pPr>
      <w:r>
        <w:t>6．補足</w:t>
      </w:r>
    </w:p>
    <w:p>
      <w:r>
        <w:t>・T7（突発一側差の焦点検証）は程度を中等度（程度2）に固定した条件であり、程度別の記述統計とは対象が異なる。規則床は程度≥1と同じ≥30 dBである。</w:t>
      </w:r>
    </w:p>
    <w:p>
      <w:r>
        <w:t>・ASA/ANSI S3.6およびISO 8253-1は、オージオメータ仕様および純音聴力検査手順の参照であり、生成器そのものの規格認証を意味しない。</w:t>
      </w:r>
    </w:p>
    <w:p>
      <w:r>
        <w:t>・本付録は出力規則への適合確認の詳細であり、生成像の臨床的妥当性や教育効果を示すものではない。</w:t>
      </w:r>
    </w:p>
    <w:p>
      <w:r>
        <w:t>・伝音ABGはパターン別に集計した（滲出性／急性・伝音型／急性・混合型／耳硬化／耳小骨離断）。詳細は表3を参照。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