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rsidRPr="00A9790A">
        <w:t>1</w:t>
      </w:r>
      <w:r w:rsidRPr="00A9790A">
        <w:t>）筆頭著者所属（住所）：北海道医療大学リハビリテーション科学部言語聴覚療法学科</w:t>
      </w:r>
      <w:bookmarkStart w:id="1" w:name="_Hlk478053893"/>
      <w:bookmarkStart w:id="2" w:name="_Hlk478053635"/>
      <w:bookmarkEnd w:id="1"/>
      <w:bookmarkEnd w:id="2"/>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【目的】年齢・性別・教育用聴力像パターン・難聴程度に応じて、条件を学習者に示さずオージオグラムを提示できる自動生成機能を構築し、設定した出力規則に沿うかを確認した。【方法】AudioScope EDUに、ISO 7029:2017に基づく年齢・性別の基準帯、正常および9種の教育用パターン、4段階の程度を実装した。6年齢群・男女・程度4段階の組合せで各20件、計9,600件を生成し、5 dB刻みや気骨導関係、パターンの特徴などを別の検証スクリプトで確認した。あわせて、意図的に規則を外した18件が不適合と判定されるかも調べた。詳細な判定条件は電子付録1に示した。【成績】9,600件は規則に適合し、規則違反18件はすべて不適合と判定された。同一条件での再実行200件は閾値が一致し、乱数初期値のみ変えた3条件ではいずれも異なる聴力像となった。【結論】固定症例を補う教育用オージオグラムの自動生成を実装し、設定規則との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rsidRPr="00A9790A">
        <w:t>連絡先住所：〒【提出時に記入】</w:t>
      </w:r>
    </w:p>
    <w:p w14:paraId="0AB8E647" w14:textId="77777777" w:rsidR="00B73D8B" w:rsidRPr="00A9790A" w:rsidRDefault="00B73D8B" w:rsidP="001D35ED">
      <w:r w:rsidRPr="00A9790A">
        <w:t>電話番号：【提出時に記入】</w:t>
      </w:r>
    </w:p>
    <w:p w14:paraId="7266E617" w14:textId="77777777" w:rsidR="003D73F4" w:rsidRPr="00A9790A" w:rsidRDefault="00B73D8B" w:rsidP="001D35ED">
      <w:r w:rsidRPr="00A9790A">
        <w:t>E-mail</w:t>
      </w:r>
      <w:r w:rsidRPr="00A9790A">
        <w:t>：【提出時に記入】</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あらかじめ定めた出力規則に沿って閾値が生成されるかを確認することである。通常の生成結果に加え、意図的に規則を外したデータでも判定できるかを調べた。本稿が扱うのは実装規則と生成結果の技術的な整合であり、生成像の臨床的妥当性や、操作性・教育効果は今後の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では、年齢・性別、教育用聴力像パターンおよび難聴の程度を主な生成条件とし、学習者向け画面にはこれらの条件を表示せず、システム内部で無作為に選ぶように設計した。検証では、年齢・性別、パターン、程度、乱数初期値を指定できるようにした。同一条件で再実行すると同じ気導・骨導閾値が得られることを確認した（学習者が前回と同じ聴力像を呼び出す機能ではない）。最終的な閾値は、オージオメータ仕様および純音聴力検査手順に関する規格24,25)を参照し、著者設定の周波数別上下限内に収めて5 dB単位とした。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7029:201711)の中央値とばらつきを参照した。規格の表は転載せず、教育用の参照値として実装した（要約は電子付録1）。本稿はISO 7029:2017を用い、修正票Amd 1:2024は未反映とした。基準は気導閾値の土台に用い、骨導は気骨導関係の著者設定から生成した。対象周波数は、気導0.125・0.25・0.5・1・2・4・8 kHz（1.5・3・6 kHzは未実装）、骨導0.25・0.5・1・2・4 kHzとした。参照値に確率的なばらつきを加えて5 dB単位に丸めた。このばらつきは測定誤差ではなく、聴力像の定型化を避けるための著者設定である（与え方の詳細は電子付録1）。18歳未満は今回の検証対象に含めなかった。</w:t>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および教育用聴力像パターンの定性的な特徴は文献を参考にした（表1）。一方、左右差や気骨導差（ABG）、C5-dip、スケールアウト（SO）などの具体的なdB値や付与条件は、教育上パターンを識別できるよう著者らが設定した。したがって表1の疾患名はパターンを区別するための呼称であり、個々の生成像が実臨床の聴力像に一致することを意味しない。程度（なし／軽度／中等度／重度）も教材用の区分であり、WHO等の平均聴力等級とは異なる。正常では程度を聴力像に反映せず、年齢・性別の基準帯から生成した。感音難聴では骨導が気導を大きく上回らないよう拘束し、伝音難聴では疾患ごとに最小ABGを確保した。突発性難聴とムンプス難聴では程度に応じてSOを付与しうる。耳硬化症ではCarhart様変化を、急性中耳炎では伝音型または高音域骨導上昇を伴う混合型を確率的に付与した。各パターンの数値規則、SOの扱い、付与確率の詳細は電子付録1に示した。</w:t>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w:t>
      </w:r>
      <w:r>
        <w:t xml:space="preserve"> | </w:t>
      </w:r>
      <w:r>
        <w:t>年齢相応</w:t>
      </w:r>
      <w:r>
        <w:t xml:space="preserve">11) | </w:t>
      </w:r>
      <w:r>
        <w:t>過大な</w:t>
      </w:r>
      <w:r>
        <w:t>ABG</w:t>
      </w:r>
      <w:r>
        <w:t>を避ける（</w:t>
      </w:r>
      <w:r>
        <w:t>≤15 dB</w:t>
      </w:r>
      <w:r>
        <w:t>）。程度は聴力像に非反映</w:t>
      </w:r>
    </w:p>
    <w:p w14:paraId="0C1F299E" w14:textId="77777777" w:rsidR="0011564F" w:rsidRDefault="00000000">
      <w:r>
        <w:t>加齢性感音難聴</w:t>
      </w:r>
      <w:r>
        <w:t xml:space="preserve"> | </w:t>
      </w:r>
      <w:r>
        <w:t>高音障害</w:t>
      </w:r>
      <w:r>
        <w:t xml:space="preserve">11,12) | </w:t>
      </w:r>
      <w:r>
        <w:t>高音域の加算</w:t>
      </w:r>
    </w:p>
    <w:p w14:paraId="228C38C4" w14:textId="77777777" w:rsidR="0011564F" w:rsidRDefault="00000000">
      <w:r>
        <w:t>騒音性難聴 | C5-dip13,14) | 程度≥1で4 kHz気導が2 kHzおよび8 kHzよりそれぞれ10 dB以上（Colesらを参考にした著者設定）</w:t>
      </w:r>
      <w:r/>
      <w:r/>
      <w:r/>
      <w:r/>
      <w:r/>
      <w:r/>
      <w:r/>
      <w:r/>
      <w:r/>
      <w:r/>
    </w:p>
    <w:p w14:paraId="786A6AAD" w14:textId="77777777" w:rsidR="0011564F" w:rsidRDefault="00000000">
      <w:r>
        <w:t>メニエール病</w:t>
      </w:r>
      <w:r>
        <w:t xml:space="preserve"> | </w:t>
      </w:r>
      <w:r>
        <w:t>低音優位</w:t>
      </w:r>
      <w:r>
        <w:t xml:space="preserve">15) | </w:t>
      </w:r>
      <w:r>
        <w:t>低音域の加算</w:t>
      </w:r>
    </w:p>
    <w:p w14:paraId="258B66E2" w14:textId="77777777" w:rsidR="0011564F" w:rsidRDefault="00000000">
      <w:r>
        <w:t>突発性難聴 | 急性感音難聴16) | 教育用に一側の加算。程度≥1で左右差≥30 dB（0.5・1・2 kHz平均）。程度に応じてSO可</w:t>
      </w:r>
      <w:r/>
      <w:r/>
      <w:r/>
      <w:r/>
      <w:r/>
      <w:r/>
      <w:r/>
      <w:r/>
    </w:p>
    <w:p w14:paraId="6FF6C57D" w14:textId="77777777" w:rsidR="0011564F" w:rsidRDefault="00000000">
      <w:r>
        <w:t>ムンプス難聴 | 一側高度17)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w:t>
      </w:r>
      <w:r>
        <w:t xml:space="preserve"> | </w:t>
      </w:r>
      <w:r>
        <w:t>伝音</w:t>
      </w:r>
      <w:r>
        <w:t xml:space="preserve">ABG18) | </w:t>
      </w:r>
      <w:r>
        <w:t>指定周波数で最小</w:t>
      </w:r>
      <w:r>
        <w:t>ABG</w:t>
      </w:r>
      <w:r>
        <w:t>（程度なしでも床を維持）</w:t>
      </w:r>
    </w:p>
    <w:p w14:paraId="3CE168C1" w14:textId="77777777" w:rsidR="0011564F" w:rsidRDefault="00000000">
      <w:r>
        <w:t>急性中耳炎</w:t>
      </w:r>
      <w:r>
        <w:t xml:space="preserve"> | </w:t>
      </w:r>
      <w:r>
        <w:t>急性期に伝音難聴または混合難聴を呈する</w:t>
      </w:r>
      <w:r>
        <w:t xml:space="preserve">19) | </w:t>
      </w:r>
      <w:r>
        <w:t>程度</w:t>
      </w:r>
      <w:r>
        <w:t>≥1</w:t>
      </w:r>
      <w:r>
        <w:t>で伝音型または高音域骨導上昇を</w:t>
      </w:r>
      <w:r>
        <w:lastRenderedPageBreak/>
        <w:t>伴う混合型を約</w:t>
      </w:r>
      <w:r>
        <w:t>50%</w:t>
      </w:r>
      <w:r>
        <w:t>ずつ生成（教育用比率。臨床発生率ではない）。最小</w:t>
      </w:r>
      <w:r>
        <w:t>ABG</w:t>
      </w:r>
      <w:r>
        <w:t>は滲出性と同一床</w:t>
      </w:r>
    </w:p>
    <w:p w14:paraId="2E7C8018" w14:textId="77777777" w:rsidR="0011564F" w:rsidRDefault="00000000">
      <w:r>
        <w:t>耳硬化症 | Carhart様20–22) | 程度≥1で80%の確率でCarhart様変化（深さ≥5 dB）を付与</w:t>
      </w:r>
      <w:r/>
      <w:r/>
      <w:r/>
      <w:r/>
      <w:r/>
      <w:r/>
      <w:r/>
      <w:r/>
      <w:r/>
      <w:r/>
    </w:p>
    <w:p w14:paraId="794AD33C" w14:textId="77777777" w:rsidR="0011564F" w:rsidRDefault="00000000">
      <w:r>
        <w:t>耳小骨連鎖離断パターン | 大きなABGを伴う伝音難聴23)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に用意した検証スクリプトで判定した。検証に先立ち判定用の正解表を定め、正常データと規則違反データを用意した。これは外部機関による第三者検証ではない。付与率の許容範囲や集計手順など、判定の詳細は電子付録1に示した。</w:t>
      </w:r>
    </w:p>
    <w:p w14:paraId="7CDC3633" w14:textId="77777777" w:rsidR="0026604C" w:rsidRDefault="00000000">
      <w:r>
        <w:t>規則違反データ18件には、5 dB刻みからの逸脱、過大なABG、左右差や特徴の不足、上下限の逸脱などを含めた（一覧は電子付録1）。正常な生成結果や合成閾値に意図的な変更を加えて入力し、不適合と判定されることを確認したうえで、同じ検証スクリプトを9,600件に適用した。</w:t>
      </w:r>
    </w:p>
    <w:p w14:paraId="27184893" w14:textId="77777777" w:rsidR="0026604C" w:rsidRDefault="00000000">
      <w:r>
        <w:t>反例候補の列挙には生成AIを補助的に用いたが、採用する違反条件は著者が確定した。異常系テストは正常13項目と規則違反18項目の計31項目とし、代表24例は著者が手計算で照合した。</w:t>
      </w:r>
    </w:p>
    <w:p w14:paraId="69A50797" w14:textId="77777777" w:rsidR="0011564F" w:rsidRDefault="00000000">
      <w:r>
        <w:t>検証対象は、正常および9種類の教育用パターン、6年齢群、男女、4段階の程度を組み合わせ、各条件20件ずつ計9,600件とした（10×6×2×4×20＝9,600）。各条件20件は統計的推定の標本数ではなく、組合せを網羅して規則への適合を確認するための設定である。確認項目は、5 dB刻み、周波数別上下限、気骨導関係、パターン別特徴、程度による変化などとし、各規則が適用される例を分母とした（表2）。項目ごとの分母と識別番号は電子付録1に示した。</w:t>
      </w:r>
    </w:p>
    <w:p w14:paraId="7B21240A" w14:textId="77777777" w:rsidR="0011564F" w:rsidRDefault="00000000">
      <w:r>
        <w:t>加えて、加齢に伴う高音域閾値の上昇、突発性難聴の一側差、程度を上げたときの閾値の非減少、同一条件での再実行一致、乱数初期値のみを変えたときの出力変化、耳硬化症のCarhart様変化および急性中耳炎の混合型を重点的に確認した。各条件の詳細は電子付録1に示した。</w:t>
      </w:r>
    </w:p>
    <w:p w14:paraId="41707AF6" w14:textId="77777777" w:rsidR="0011564F" w:rsidRDefault="00000000">
      <w:r>
        <w:t>伝音難聴のABG、C5-dipとCarhart様変化の深さ、突発性難聴とムンプス難聴の一側差を表3に要約した。これらは実装した特徴を把握するための指標であり、臨床診断基準を示すものではない。指標の定義は電子付録1に示した。</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t>生成・検証スクリプトの作成とデバッグ、仕様照合の補助に生成AIを用いたが、検証条件・合否基準・実行結果は著者が最終確認した。生成AIによる確認は第三者検証には当たらない。</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指定した年齢・性別・聴力像パターン・程度の反映 | 9,600件 | 全例適合</w:t>
      </w:r>
      <w:r/>
      <w:r/>
      <w:r/>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Carhart様変化は、程度が軽度以上の720件中576件（80.0%）に付与され、付与例はいずれも規定の形に適合した。急性中耳炎の混合型は同720件中361件（50.1%）に付与され、付与例はいずれも設定規則に適合した。これらは教育用の付与比率の観測値であり、臨床上の発生率の推定ではない。重点確認とスケールアウトの内訳は電子付録1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教育用聴力像パターン・難聴程度に応じてオージオグラムを自動生成し、生成条件を学習者に示さず提示できる仕組みを構築した。既存のシミュレータは、検査操作、患者応答、マスキング、臨床環境の再現や教育・臨床的有用性の評価を扱ってきた1–10)。本システムの特徴は、典型例の固定症例を補いつつ、条件の異なる聴力像を繰り返し提示できる点にある。出力が設定どおりかを確かめるため、生成とは別の検証スクリプトで9,600件を確認し、意図的な規則違反18件も検出できることを示した。同一条件での再実行で閾値が一致したことは、教材としての再現確認にも有用である。</w:t>
      </w:r>
    </w:p>
    <w:p w14:paraId="734FB482" w14:textId="77777777" w:rsidR="00753A4E" w:rsidRPr="00753A4E" w:rsidRDefault="00000000" w:rsidP="00753A4E">
      <w:r>
        <w:t>乱数初期値のみを変えた3条件では、いずれも200件すべてが異なる閾値セットとなった。今回確認した条件では、確率的変動が出力に反映されていたと考えられる。図3の代表例からも、年齢・性別・聴力像パターン・難聴程度に応じて異なる聴力像が生成されることを確認できる。ただし、出力の多様性や規則への適合は、生成像の臨床的妥当性を直接示すものではない。</w:t>
      </w:r>
    </w:p>
    <w:p w14:paraId="53CCE2A6" w14:textId="77777777" w:rsidR="0026604C"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左右差やABG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761FEB12" w14:textId="77777777" w:rsidR="0011564F" w:rsidRDefault="00000000">
      <w:r>
        <w:t>本研究の限界として、本稿は著者定義の規則との整合をみた技術検証であり、外部機関による第三者検証ではない。表1の疾患名や具体的なdB値の多くは教育用の設定であり、生成された個々のオージオグラムが臨床例として妥当であるかは別に評価する必要がある。マスキング判定そのものは本稿の検証項目としておらず、学習効果も評価していない。検証手順の詳細や補足集計は電子付録1に示した。今後は、聴覚検査の専門家による内容評価と、学習者を対象とした操作性・教育効果の検討が必要である。</w:t>
      </w:r>
    </w:p>
    <w:p w14:paraId="4189F98A" w14:textId="77777777" w:rsidR="0011564F" w:rsidRDefault="00000000">
      <w:r/>
    </w:p>
    <w:p w14:paraId="65370177" w14:textId="77777777" w:rsidR="0011564F" w:rsidRDefault="00000000">
      <w:pPr>
        <w:pStyle w:val="H1"/>
      </w:pPr>
      <w:r>
        <w:t>V　結語</w:t>
      </w:r>
    </w:p>
    <w:p w14:paraId="0A40265F" w14:textId="77777777" w:rsidR="0011564F" w:rsidRDefault="00000000">
      <w:r>
        <w:t>年齢・性別・教育用聴力像パターン・難聴程度に応じて、教育用オージオグラムを自動生成するシステムを開発した。9,600件の生成結果は設定した出力規則に適合し、規則違反18件の検出および同一条件での再実行一致も確認できた。本システムは、生成条件を学習者に知らせず、固定症例を補う多様な聴力像を提示するための技術的基盤となる。生成像の臨床的妥当性と教育効果については、今後の検討が必要である。</w:t>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International Organization for Standardization: Acoustics—Statistical distribution of hearing thresholds related to age and gender. ISO 7029:2017, ISO, Geneva, 2017.</w:t>
      </w:r>
    </w:p>
    <w:p w14:paraId="60AABAAC" w14:textId="77777777" w:rsidR="0011564F" w:rsidRDefault="00000000">
      <w:r>
        <w:t>12) Gates GA, Mills JH: Presbycusis. Lancet, 2005; 366: 1111–1120.</w:t>
      </w:r>
    </w:p>
    <w:p w14:paraId="10C8485B" w14:textId="77777777" w:rsidR="0011564F" w:rsidRDefault="00000000">
      <w:r>
        <w:t>13) McBride DI, Williams S: Audiometric notch as a sign of noise induced hearing loss. Occup Environ Med, 2001; 58: 46–51.</w:t>
      </w:r>
    </w:p>
    <w:p w14:paraId="6E8C85CD" w14:textId="77777777" w:rsidR="0011564F" w:rsidRDefault="00000000">
      <w:r>
        <w:t>14) Coles RR, et al: Guidelines on the diagnosis of noise-induced hearing loss for medicolegal purposes. Clin Otolaryngol Allied Sci, 2000; 25: 264–273.</w:t>
      </w:r>
    </w:p>
    <w:p w14:paraId="1FF5F2E6" w14:textId="77777777" w:rsidR="0011564F" w:rsidRDefault="00000000">
      <w:r>
        <w:t>15) Lopez-Escamez JA, et al: Diagnostic criteria for Menière’s disease. J Vestib Res, 2015; 25: 1–7.</w:t>
      </w:r>
    </w:p>
    <w:p w14:paraId="39742AE9" w14:textId="77777777" w:rsidR="0011564F" w:rsidRDefault="00000000">
      <w:r>
        <w:t>16) Chandrasekhar SS, et al: Clinical practice guideline: sudden hearing loss (update). Otolaryngol Head Neck Surg, 2019; 161: S1–S45.</w:t>
      </w:r>
    </w:p>
    <w:p w14:paraId="389EFFD1" w14:textId="77777777" w:rsidR="0011564F" w:rsidRDefault="00000000">
      <w:r>
        <w:t>17) Hashimoto H, et al: An office-based prospective study of deafness in mumps. Pediatr Infect Dis J, 2009; 28: 173–175.</w:t>
      </w:r>
    </w:p>
    <w:p w14:paraId="46C8C03B" w14:textId="77777777" w:rsidR="0011564F" w:rsidRDefault="00000000">
      <w:r>
        <w:t>18) Rosenfeld RM, et al: Clinical practice guideline: otitis media with effusion (update). Otolaryngol Head Neck Surg, 2016; 154: S1–S41.</w:t>
      </w:r>
    </w:p>
    <w:p w14:paraId="1E835FF7" w14:textId="77777777" w:rsidR="0011564F" w:rsidRDefault="00000000">
      <w:r>
        <w:lastRenderedPageBreak/>
        <w:t>19) Kasemodel ALP, et al: Sensorineural hearing loss in the acute phase of a single episode of acute otitis media. Braz J Otorhinolaryngol, 2020; 86: 767–773.</w:t>
      </w:r>
    </w:p>
    <w:p w14:paraId="310559FA" w14:textId="77777777" w:rsidR="0011564F" w:rsidRDefault="00000000">
      <w:r>
        <w:t>20) Carhart R: Clinical application of bone conduction audiometry. Arch Otolaryngol, 1950; 51: 798–808.</w:t>
      </w:r>
    </w:p>
    <w:p w14:paraId="35599E18" w14:textId="77777777" w:rsidR="0011564F" w:rsidRDefault="00000000">
      <w:r>
        <w:t>21) Kashio A, et al: Carhart notch 2-kHz bone conduction threshold dip: a nondefinitive predictor of stapes fixation in conductive hearing loss with normal tympanic membrane. Arch Otolaryngol Head Neck Surg, 2011; 137: 236–240.</w:t>
      </w:r>
    </w:p>
    <w:p w14:paraId="4A12C321" w14:textId="77777777" w:rsidR="0011564F" w:rsidRDefault="00000000">
      <w:r>
        <w:t>22) Wegner I, et al: Pure-tone audiometry in otosclerosis: insufficient evidence for the diagnostic value of the Carhart notch. Otolaryngol Head Neck Surg, 2013; 149: 528–532.</w:t>
      </w:r>
    </w:p>
    <w:p w14:paraId="4CD49C9C" w14:textId="77777777" w:rsidR="0011564F" w:rsidRDefault="00000000">
      <w:r>
        <w:t>23) Farahmand RB, et al: The audiometric and mechanical effects of partial ossicular discontinuity. Ear Hear, 2016; 37: 206–215.</w:t>
      </w:r>
    </w:p>
    <w:p w14:paraId="1388DB6D" w14:textId="77777777" w:rsidR="0011564F" w:rsidRDefault="00000000">
      <w:r>
        <w:t>24) Acoustical Society of America / American National Standards Institute: Specification for audiometers. ASA/ANSI S3.6-2025, ASA, New York, 2025.</w:t>
      </w:r>
    </w:p>
    <w:p w14:paraId="04569468" w14:textId="77777777" w:rsidR="0011564F" w:rsidRDefault="00000000">
      <w:r>
        <w:t>25) International Organization for Standardization: Acoustics—Audiometric test methods—Part 1: Pure-tone air and bone conduction audiometry. ISO 8253-1:2010, ISO, Geneva, 2010.</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an automated function that presents educational audiograms without revealing generation conditions to learners, based on age, sex, educational audiometric pattern, and hearing-loss severity, and to confirm conformity with predefined output rules. Methods: AudioScope EDU incorporated age- and sex-specific reference ranges based on ISO 7029:2017, normal hearing and nine educational patterns, and four severity levels. We generated 20 audiograms for each combination of six age groups, two sexes, and four severity levels across the patterns (9,600 in total). A separate verification script checked 5-dB increments, air–bone relationships, and pattern features. We also tested 18 predefined rule-violating datasets. Detailed criteria are provided in Supplementary Material 1. Results: All 9,600 audiograms conformed to the rules, and all 18 rule-violating datasets were judged nonconforming. Repeat generation with identical conditions yielded identical thresholds (n=200). When only the random seed was changed within each of three fixed conditions, all threshold sets were unique. Conclusions: We implemented automated generation of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