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電子付録1．聴力像自動生成・仕様適合検証結果（JAMT_v2.31対応）</w:t>
      </w:r>
    </w:p>
    <w:p>
      <w:r>
        <w:t>- 対応原稿: manuscript_IgakuKensa_AudioScopeEDU_technical_validity_JAMT_v2.31.docx</w:t>
      </w:r>
    </w:p>
    <w:p>
      <w:r>
        <w:t>- T6a/T6bおよびT6c/T6dは同一200件での付与の有無と形の確認であり、付与例を別に200件集めた試験ではない。</w:t>
      </w:r>
    </w:p>
    <w:p>
      <w:r>
        <w:t>- 本付録の数値は現行生成器・検証スクリプトの再実行結果である（旧25 dB床・C5無床などの数値は用いない）。</w:t>
      </w:r>
    </w:p>
    <w:p>
      <w:r>
        <w:t>- 実行日時: 2026-09-04T13:53:04.513Z</w:t>
      </w:r>
    </w:p>
    <w:p>
      <w:r>
        <w:t>- 実行環境: Node v22.20.0 / darwin</w:t>
      </w:r>
    </w:p>
    <w:p>
      <w:r>
        <w:t>- 要因組合せ: 10プロファイル（正常1+疾患9）× 6年齢群 × 2性別 × 4程度 × 20 seed = **9600** 件の合成閾値セット</w:t>
      </w:r>
    </w:p>
    <w:p>
      <w:r>
        <w:t>- 年齢群: 20s, 30s, 40s, 50s, 60s, 70s</w:t>
      </w:r>
    </w:p>
    <w:p>
      <w:r>
        <w:t>- 適合の単位: 適合率は原則「症例（合成閾値セット）単位」。G2b・G4bのみ閾値点単位。</w:t>
      </w:r>
    </w:p>
    <w:p>
      <w:r>
        <w:t>- Carhart様: seed付き一様乱数によるBernoulli試行（rand()&lt;0.8）。決定論的に80%へ割付してはいない。</w:t>
      </w:r>
    </w:p>
    <w:p>
      <w:pPr>
        <w:pStyle w:val="Heading2"/>
      </w:pPr>
      <w:r>
        <w:t>適合率（適用対象別）</w:t>
      </w:r>
    </w:p>
    <w:p>
      <w:r>
        <w:t>| ID | 項目 | 適合 | 適用n | 率% | メモ |</w:t>
      </w:r>
    </w:p>
    <w:p>
      <w:r>
        <w:t>|----|------|------|-------|-----|------|</w:t>
      </w:r>
    </w:p>
    <w:p>
      <w:r>
        <w:t>| G0 | 要因組合せ・合成閾値セット数 | 9600/9600 | 9600 | 100 | 10プロファイル(正常1+疾患9)×6年齢×2性別×4程度×20seed |</w:t>
      </w:r>
    </w:p>
    <w:p>
      <w:r>
        <w:t>| G1 | 条件反映（症例単位） | 9600/9600 | 9600 | 100 |  |</w:t>
      </w:r>
    </w:p>
    <w:p>
      <w:r>
        <w:t>| G2a | 5 dB丸め（症例単位：全閾値が5の倍数） | 9600/9600 | 9600 | 100 |  |</w:t>
      </w:r>
    </w:p>
    <w:p>
      <w:r>
        <w:t>| G2b | 5 dB丸め（閾値点単位） | 230400/230400 | 230400 | 100 |  |</w:t>
      </w:r>
    </w:p>
    <w:p>
      <w:r>
        <w:t>| G4a | 周波数別上下限（症例単位：数値閾値がP4範囲内） | 9600/9600 | 9600 | 100 | 境界値＝上下限一致は適合。超過・下回は不適合 |</w:t>
      </w:r>
    </w:p>
    <w:p>
      <w:r>
        <w:t>| G4b | 周波数別上下限（閾値点単位） | 230400/230400 | 230400 | 100 |  |</w:t>
      </w:r>
    </w:p>
    <w:p>
      <w:r>
        <w:t>| G3-Normal | Normal: 過大ABGなし（症例単位） | 960/960 | 960 | 100 |  |</w:t>
      </w:r>
    </w:p>
    <w:p>
      <w:r>
        <w:t>| G3-SNHL | 感音: BC≤AC+5（症例単位） | 4800/4800 | 4800 | 100 |  |</w:t>
      </w:r>
    </w:p>
    <w:p>
      <w:r>
        <w:t>| G3-CHL | 伝音系4パターン: 最小ABG（症例単位。急性中耳炎の混合型を含む） | 3840/3840 | 3840 | 100 |  |</w:t>
      </w:r>
    </w:p>
    <w:p>
      <w:r>
        <w:t>| G3-Noise | C5-dip: 4k≥2k+10 かつ 4k≥8k+10（程度≥1） | 720/720 | 720 | 100 | Coles参考の著者設定（10 dB床） |</w:t>
      </w:r>
    </w:p>
    <w:p>
      <w:r>
        <w:t>| G3-SuddenLat | 突発一側差≥30 dB（程度≥1・0.5/1/2 kHz平均） | 720/720 | 720 | 100 |  |</w:t>
      </w:r>
    </w:p>
    <w:p>
      <w:r>
        <w:t>| G3-MumpsFloor | ムンプス: 病側meanAC≥70 かつ 一側差≥55（程度≥1） | 720/720 | 720 | 100 |  |</w:t>
      </w:r>
    </w:p>
    <w:p>
      <w:r>
        <w:t>| G3-CarhartGeom | Carhart様幾何（発現例のみ） | 576/576 | 576 | 100 |  |</w:t>
      </w:r>
    </w:p>
    <w:p>
      <w:r>
        <w:t>| G3-AOM-Mixed | AOM混合型: 4k BC&gt;0.5k BC（付与例） | 361/361 | 361 | 100 |  |</w:t>
      </w:r>
    </w:p>
    <w:p>
      <w:r>
        <w:t>| T1 | 年齢効果 SNHL_Age（70s−20s, 4–8k平均AC） | 200/200 | 200 | 100 | 差の中央値 42.5 dB (IQR 37.5–47.5) |</w:t>
      </w:r>
    </w:p>
    <w:p>
      <w:r>
        <w:t>| T8 | 程度の非減少（正常以外・同一seed・一側は患側固定） | 540/540 | 540 | 100 | SNHL_Age:60/60; SNHL_NoiseNotch:60/60; SNHL_Meniere:60/60; SNHL_Sudden:60/60; SNHL_Mumps:60/60; CHL_OME:60/60; CHL_AOM:60/60; CHL_Otosclerosis:60/60; CHL_OssicularDiscontinuity:60/60 |</w:t>
      </w:r>
    </w:p>
    <w:p>
      <w:r>
        <w:t>| T7 | Sudden一側差≥30 dB（焦点: 程度2固定） | 200/200 | 200 | 100 | 焦点差中央値 51.7 dB（グリッドの程度≥1規則と同じ30 dB床） |</w:t>
      </w:r>
    </w:p>
    <w:p>
      <w:r>
        <w:t>| T6a | Carhart様・付与の有無（期待80%） | 160/200 | 200 | 80 | 同じ200件での付与 160/200=80.0% (95%CI 73.9–85.0%)。許容帯70–90%のため試験合格 |</w:t>
      </w:r>
    </w:p>
    <w:p>
      <w:r>
        <w:t>| T6b | Carhart様・付与例の形（T6aと同じ200件） | 160/160 | 160 | 100 | T6aで付与された160件の形（160/160） |</w:t>
      </w:r>
    </w:p>
    <w:p>
      <w:r>
        <w:t>| T6c | AOM混合型・付与の有無（教育用50%） | 101/200 | 200 | 50.5 | 同じ200件での付与 101/200=50.5% (95%CI 43.6–57.4%)。許容帯40–60%のため試験合格。臨床発生率ではない |</w:t>
      </w:r>
    </w:p>
    <w:p>
      <w:r>
        <w:t>| T6d | AOM混合型・付与例の形（T6cと同じ200件） | 101/101 | 101 | 100 | T6cで付与された101件の形（101/101） |</w:t>
      </w:r>
    </w:p>
    <w:p>
      <w:r>
        <w:t>| T10 | seed固定の決定論的再現（不一致0を目標） | 200/200 | 200 | 100 | 不一致 0 |</w:t>
      </w:r>
    </w:p>
    <w:p>
      <w:r>
        <w:t>| T11 | 同一条件・異seedの出力多様性（記述・全件不一致は非要求） | 200/200 | 200 | 100 | SNHL_NoiseNotch:ユニーク200/200・隣接不一致199/199; CHL_OME:ユニーク200/200・隣接不一致199/199; Normal:ユニーク200/200・隣接不一致199/199 |</w:t>
      </w:r>
    </w:p>
    <w:p>
      <w:pPr>
        <w:pStyle w:val="Heading2"/>
      </w:pPr>
      <w:r>
        <w:t>記述統計（グリッド由来）</w:t>
      </w:r>
    </w:p>
    <w:p>
      <w:r>
        <w:t>- 伝音ABG（病側・BC周波数・一括）: n=19200, 中央値15.0dB (IQR 10.0–25.0, 範囲 -5.0–50.0)</w:t>
      </w:r>
    </w:p>
    <w:p>
      <w:r>
        <w:t>- 伝音ABG 滲出性中耳炎: n=4800, 中央値15.0dB (IQR 10.0–20.0, 範囲 -5.0–40.0)</w:t>
      </w:r>
    </w:p>
    <w:p>
      <w:r>
        <w:t>- 伝音ABG 急性中耳炎・伝音型: n=2995, 中央値15.0dB (IQR 10.0–20.0, 範囲 -5.0–40.0)</w:t>
      </w:r>
    </w:p>
    <w:p>
      <w:r>
        <w:t>- 伝音ABG 急性中耳炎・混合型: n=1805, 中央値15.0dB (IQR 10.0–20.0, 範囲 0.0–40.0)</w:t>
      </w:r>
    </w:p>
    <w:p>
      <w:r>
        <w:t>- 伝音ABG 耳硬化症: n=4800, 中央値15.0dB (IQR 5.0–20.0, 範囲 -5.0–40.0)</w:t>
      </w:r>
    </w:p>
    <w:p>
      <w:r>
        <w:t>- 伝音ABG 耳小骨連鎖離断パターン: n=4800, 中央値30.0dB (IQR 25.0–40.0, 範囲 15.0–50.0)</w:t>
      </w:r>
    </w:p>
    <w:p>
      <w:r>
        <w:t>- C5-dipの深さ（4k−2k AC, 程度≥1）: n=720, 中央値25.0dB (IQR 20.0–30.0, 範囲 10.0–65.0)</w:t>
      </w:r>
    </w:p>
    <w:p>
      <w:r>
        <w:t>- AOM混合型（程度≥1）: 361/720 (50.1%)。付与例の4k BC&gt;0.5k BCは 361/361</w:t>
      </w:r>
    </w:p>
    <w:p>
      <w:r>
        <w:t>- Carhart様の深さ（BC2−mean(BC1,BC4), 発現例）: n=576, 中央値7.5dB (IQR 7.5–12.5, 範囲 5.0–22.5)</w:t>
      </w:r>
    </w:p>
    <w:p>
      <w:r>
        <w:t>- 一側差 Sudden（程度≥1 全体）: n=720, 中央値51.7dB (IQR 40.0–70.0, 範囲 30.0–108.3)</w:t>
      </w:r>
    </w:p>
    <w:p>
      <w:r>
        <w:t>- 一側差 Sudden 程度1: n=240, 中央値36.7dB (IQR 33.3–40.0, 範囲 30.0–41.7)</w:t>
      </w:r>
    </w:p>
    <w:p>
      <w:r>
        <w:t>- 一側差 Sudden 程度2: n=240, 中央値51.7dB (IQR 48.3–55.0, 範囲 36.7–56.7)</w:t>
      </w:r>
    </w:p>
    <w:p>
      <w:r>
        <w:t>- 一側差 Sudden 程度3: n=240, 中央値73.3dB (IQR 70.0–75.0, 範囲 56.7–108.3)</w:t>
      </w:r>
    </w:p>
    <w:p>
      <w:r>
        <w:t>- 一側差 Mumps（程度≥1）: n=720, 中央値95.0dB (IQR 86.7–106.7, 範囲 78.3–108.3)</w:t>
      </w:r>
    </w:p>
    <w:p>
      <w:r>
        <w:t>- Sudden SO（程度≥1）: none 555, hf 139, full 26 / 程度別 sev1={"none":240,"hf":0,"full":0} sev2={"none":189,"hf":51,"full":0} sev3={"none":126,"hf":88,"full":26}</w:t>
      </w:r>
    </w:p>
    <w:p>
      <w:r>
        <w:t>- Mumps 全周SO（程度≥1）: 354/720 (49.2%)</w:t>
      </w:r>
    </w:p>
    <w:p>
      <w:r>
        <w:t>- 注: T7焦点は程度2・固定条件の200件。グリッドの程度≥1（720件）と同じ30 dB一側差床。SO点の数値処理は電子付録の指標定義を参照。</w:t>
      </w:r>
    </w:p>
    <w:p>
      <w:r>
        <w:t>- Carhart様: Bernoulli（rand()&lt;0.8）。決定論的80%割付ではない。グリッド発現 576/720、T6a観測160/200。</w:t>
      </w:r>
    </w:p>
    <w:p>
      <w:r>
        <w:t>- T8内訳: 正常以外9プロファイル × 6年齢 × 2性別 × 5 seed = 540セル</w:t>
      </w:r>
    </w:p>
    <w:p>
      <w:r>
        <w:t>- T6a/T6b: 同じ200件。T6aは付与の有無（160/200）、T6bはその付与例の形（160/160）。</w:t>
      </w:r>
    </w:p>
    <w:p>
      <w:r>
        <w:t>- T6c/T6d: 同じ200件。T6cは付与の有無（101/200）、T6dはその付与例の形（101/101）。</w:t>
      </w:r>
    </w:p>
    <w:p>
      <w:r>
        <w:t>- T11: 同一条件でseedのみ変えた200件のユニーク出力数（5 dB丸めのため全件不一致は要求しない）。</w:t>
      </w:r>
    </w:p>
    <w:p>
      <w:pPr>
        <w:pStyle w:val="Heading2"/>
      </w:pPr>
      <w:r>
        <w:t>指標定義（SOの数値処理）</w:t>
      </w:r>
    </w:p>
    <w:p>
      <w:r>
        <w:t>- スケールアウト（SO）点は、当該周波数の教育用気導上限値（LIMITS_AC.max）を数値として保持し、`soAC=true`（骨導SO時は周波数別NR閾値と`soBC=true`）を付す。上限＋5 dB等の外挿代入は行わない。</w:t>
      </w:r>
    </w:p>
    <w:p>
      <w:r>
        <w:t>- 一側差・病側平均（0.5/1/2 kHz）の算出では、上記の数値（上限値）を含め、3周波がすべて有限である場合のみ平均する。いずれかが非数なら当該例は判定不能（主合否では不適合扱い）。</w:t>
      </w:r>
    </w:p>
    <w:p>
      <w:r>
        <w:t>- したがって G3-SuddenLat / G3-MumpsFloor の分母720は、SO例を除外せず、SO点を上限値代入したうえで床規則を評価した結果である。</w:t>
      </w:r>
    </w:p>
    <w:p>
      <w:r>
        <w:t>実行: Node v22.20.0 / darwin / audioscope-edu@1.0.0</w:t>
      </w:r>
    </w:p>
    <w:p>
      <w:pPr>
        <w:pStyle w:val="Heading2"/>
      </w:pPr>
      <w:r>
        <w:t>付録追記1．主な出力規則（本文との対応）</w:t>
      </w:r>
    </w:p>
    <w:p>
      <w:r>
        <w:t>- C5-dip（騒音、程度≥1）: 4 kHzが2 kHzおよび8 kHzよりそれぞれ **10 dB以上**（Colesらを参考にした著者設定。Coles基準そのものではない）。</w:t>
      </w:r>
    </w:p>
    <w:p>
      <w:r>
        <w:t>- 突発性難聴（程度≥1）: 病側−対側 mean AC(0.5/1/2 kHz) ≥ **30 dB**。</w:t>
      </w:r>
    </w:p>
    <w:p>
      <w:r>
        <w:t>- ムンプス難聴（程度≥1）: 病側 mean AC ≥ **70 dB** かつ一側差 ≥ **55 dB**（軽度は実質不使用）。</w:t>
      </w:r>
    </w:p>
    <w:p>
      <w:r>
        <w:t>- 周波数別上下限: 数値閾値が教育用上下限の閉区間内（境界一致は適合）。</w:t>
      </w:r>
    </w:p>
    <w:p>
      <w:r>
        <w:t>- Carhart様: BC2−mean(BC1,BC4)≥**5 dB**（5 dB丸め後に切痕形状として識別可能な最小深さとして著者設定。C5-dipの10 dB床とは目的が異なるため、床のdBは非対称である）。</w:t>
      </w:r>
    </w:p>
    <w:p>
      <w:r>
        <w:t>- 異常系テスト: 正常・適合13項目 + 規則違反18項目 = **31項目**。</w:t>
      </w:r>
    </w:p>
    <w:p>
      <w:pPr>
        <w:pStyle w:val="Heading2"/>
      </w:pPr>
      <w:r>
        <w:t>付録追記2．異常系テスト</w:t>
      </w:r>
    </w:p>
    <w:p>
      <w:r>
        <w:t>`npm run verify:audiogram:mutations` → 31/31。対応表は `docs/pilot-study/verification/NEGATIVE_TEST_cases.md`。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