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2.32（2026-09-04）。対応原稿：manuscript_IgakuKensa_AudioScopeEDU_technical_validity_JAMT_v2.32.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床・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・急性中耳炎の混合型：程度≥1で教育用Bernoulli試行（付与率50%）。臨床発生率の再現ではない。最小ABG床は滲出性中耳炎と同一。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である。生成時は中央値を平均、帯域幅から近似したSDで正規乱数サンプリングし、帯域内にクリップしたうえで5 dB丸めと周波数別上下限を適用する。このばらつき付与は教育用サンプリングであり、ISOのsu／sl式そのものの実装ではない。なお、気導の教育用下限は0.125／0.25／0.5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r>
        <w:t>以下は凍結正解表（RULE_SPEC P4）および検証側LIMITSと同値である。生成器側にも同値のLIMITSがあるが、G4a／G4bは生成器のEngineConstantsを参照せず、検証側の別定義表と比較する。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60</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9プロファイル各60/60（計540）。内訳は表下の注を参照。</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r>
        <w:t>T8のプロファイル別内訳（各60セル）：SNHL_Age:60/60;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・ムンプス難聴の高度床（程度≥1）：病側平均気導≥70 dBかつ一側差≥55 dB。学習者向け無作為選択では軽度を選ばないが、検証グリッドでは程度1も明示指定で生成し、深度は中等度相当として高度床を満たす。</w:t>
      </w:r>
    </w:p>
    <w:p>
      <w:r>
        <w:t>・加齢効果（T1）：70歳代と20歳代の4、8 kHz気導の単純平均の差。</w:t>
      </w:r>
    </w:p>
    <w:p>
      <w:r>
        <w:t>・C5-dipの深さ：4 kHz−2 kHzおよび4 kHz−8 kHz（気導、程度≥1）。規則は双方に10 dB床を課す。</w:t>
      </w:r>
    </w:p>
    <w:p>
      <w:r>
        <w:t>・Carhart様の深さ：BC 2 kHz − mean(BC 1 kHz, BC 4 kHz)（付与例）。深さ下限は5 dB。</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も実装しており、感音難聴のNR規則に基づく周波数別閾値を数値として保持しsoBCフラグを付す。いずれも上限＋5 dB等の外挿代入は行わない。一側差・病側平均の算出は気導数値を用いる。</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dB（四分位範囲7.5–12.5、範囲5.0–22.5）</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・床規則の別掲（全周波数SOを除く）：突発一側差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歴史的経緯からM1–M20を用いるが、欠番はM9・M11である（振り直しは行っていない）。これとは別に、主要パターンを網羅するよう選んだ代表生成例24件について、著者が気導・骨導値と主要規則を手計算で照合し、全例が設定規則に一致した（条件・seedの一覧は verification/HANDCHECK_cases_24.md。異常系31項目の部分集合ではない）。</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正常・適合データ（上限境界・ムンプス床を含む）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dB床未満）</w:t>
            </w:r>
          </w:p>
        </w:tc>
        <w:tc>
          <w:tcPr>
            <w:tcW w:type="dxa" w:w="2880"/>
          </w:tcPr>
          <w:p>
            <w:r>
              <w:t>FAIL</w:t>
            </w:r>
          </w:p>
        </w:tc>
      </w:tr>
      <w:tr>
        <w:tc>
          <w:tcPr>
            <w:tcW w:type="dxa" w:w="2880"/>
          </w:tcPr>
          <w:p>
            <w:r>
              <w:t>M20</w:t>
            </w:r>
          </w:p>
        </w:tc>
        <w:tc>
          <w:tcPr>
            <w:tcW w:type="dxa" w:w="2880"/>
          </w:tcPr>
          <w:p>
            <w:r>
              <w:t>ムンプスで病側平均が高度床未満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床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