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2.31（2026-09-04）。対応原稿：manuscript_IgakuKensa_AudioScopeEDU_technical_validity_JAMT_v2.31.docx。T6aとT6b、T6cとT6dは、それぞれ同一の200件について付与の有無と形を確認したものであり、付与例を別に200件集めた試験ではない。</w:t>
      </w:r>
    </w:p>
    <w:p>
      <w:pPr>
        <w:pStyle w:val="Heading2"/>
      </w:pPr>
      <w:r>
        <w:t>1．検証の概要</w:t>
      </w:r>
    </w:p>
    <w:p>
      <w:r>
        <w:t>・実行日時：2026-09-04T14:18:50.939Z（Node.js v22.20.0 / darwin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に判定関数を実装した。症例生成のため生成関数を呼び出すが、合否判定式は生成器内部の拘束ルーチンを共有しない。一部の定数（最小ABG床など）は双方に同値を重複定義し、凍結正解表と突合して管理した。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・急性中耳炎の混合型：程度≥1で教育用Bernoulli試行（付与率50%）。臨床発生率の再現ではない。最小ABG床は滲出性中耳炎と同一。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規格本文の表は転載しない。実装した教育用JSONから、気導中央値（dB HL）の要約を示す。0.125 kHzはISO表にないため教育用に隣接帯から補間・拘束している。骨導基準はISOが直接規定するものではなく、気骨導関係の著者規則から生成する。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性別</w:t>
            </w:r>
          </w:p>
        </w:tc>
        <w:tc>
          <w:tcPr>
            <w:tcW w:type="dxa" w:w="1234"/>
          </w:tcPr>
          <w:p>
            <w:r>
              <w:t>年齢群</w:t>
            </w:r>
          </w:p>
        </w:tc>
        <w:tc>
          <w:tcPr>
            <w:tcW w:type="dxa" w:w="1234"/>
          </w:tcPr>
          <w:p>
            <w:r>
              <w:t>0.5 kHz</w:t>
            </w:r>
          </w:p>
        </w:tc>
        <w:tc>
          <w:tcPr>
            <w:tcW w:type="dxa" w:w="1234"/>
          </w:tcPr>
          <w:p>
            <w:r>
              <w:t>1 kHz</w:t>
            </w:r>
          </w:p>
        </w:tc>
        <w:tc>
          <w:tcPr>
            <w:tcW w:type="dxa" w:w="1234"/>
          </w:tcPr>
          <w:p>
            <w:r>
              <w:t>2 kHz</w:t>
            </w:r>
          </w:p>
        </w:tc>
        <w:tc>
          <w:tcPr>
            <w:tcW w:type="dxa" w:w="1234"/>
          </w:tcPr>
          <w:p>
            <w:r>
              <w:t>4 kHz</w:t>
            </w:r>
          </w:p>
        </w:tc>
        <w:tc>
          <w:tcPr>
            <w:tcW w:type="dxa" w:w="1234"/>
          </w:tcPr>
          <w:p>
            <w:r>
              <w:t>8 kHz</w:t>
            </w:r>
          </w:p>
        </w:tc>
      </w:tr>
      <w:tr>
        <w:tc>
          <w:tcPr>
            <w:tcW w:type="dxa" w:w="1234"/>
          </w:tcPr>
          <w:p>
            <w:r>
              <w:t>男性</w:t>
            </w:r>
          </w:p>
        </w:tc>
        <w:tc>
          <w:tcPr>
            <w:tcW w:type="dxa" w:w="1234"/>
          </w:tcPr>
          <w:p>
            <w:r>
              <w:t>20s</w:t>
            </w:r>
          </w:p>
        </w:tc>
        <w:tc>
          <w:tcPr>
            <w:tcW w:type="dxa" w:w="1234"/>
          </w:tcPr>
          <w:p>
            <w:r>
              <w:t>0.0</w:t>
            </w:r>
          </w:p>
        </w:tc>
        <w:tc>
          <w:tcPr>
            <w:tcW w:type="dxa" w:w="1234"/>
          </w:tcPr>
          <w:p>
            <w:r>
              <w:t>0.0</w:t>
            </w:r>
          </w:p>
        </w:tc>
        <w:tc>
          <w:tcPr>
            <w:tcW w:type="dxa" w:w="1234"/>
          </w:tcPr>
          <w:p>
            <w:r>
              <w:t>0.0</w:t>
            </w:r>
          </w:p>
        </w:tc>
        <w:tc>
          <w:tcPr>
            <w:tcW w:type="dxa" w:w="1234"/>
          </w:tcPr>
          <w:p>
            <w:r>
              <w:t>0.0</w:t>
            </w:r>
          </w:p>
        </w:tc>
        <w:tc>
          <w:tcPr>
            <w:tcW w:type="dxa" w:w="1234"/>
          </w:tcPr>
          <w:p>
            <w:r>
              <w:t>0.0</w:t>
            </w:r>
          </w:p>
        </w:tc>
      </w:tr>
      <w:tr>
        <w:tc>
          <w:tcPr>
            <w:tcW w:type="dxa" w:w="1234"/>
          </w:tcPr>
          <w:p>
            <w:r>
              <w:t>男性</w:t>
            </w:r>
          </w:p>
        </w:tc>
        <w:tc>
          <w:tcPr>
            <w:tcW w:type="dxa" w:w="1234"/>
          </w:tcPr>
          <w:p>
            <w:r>
              <w:t>50s</w:t>
            </w:r>
          </w:p>
        </w:tc>
        <w:tc>
          <w:tcPr>
            <w:tcW w:type="dxa" w:w="1234"/>
          </w:tcPr>
          <w:p>
            <w:r>
              <w:t>3.0</w:t>
            </w:r>
          </w:p>
        </w:tc>
        <w:tc>
          <w:tcPr>
            <w:tcW w:type="dxa" w:w="1234"/>
          </w:tcPr>
          <w:p>
            <w:r>
              <w:t>4.0</w:t>
            </w:r>
          </w:p>
        </w:tc>
        <w:tc>
          <w:tcPr>
            <w:tcW w:type="dxa" w:w="1234"/>
          </w:tcPr>
          <w:p>
            <w:r>
              <w:t>6.5</w:t>
            </w:r>
          </w:p>
        </w:tc>
        <w:tc>
          <w:tcPr>
            <w:tcW w:type="dxa" w:w="1234"/>
          </w:tcPr>
          <w:p>
            <w:r>
              <w:t>10.7</w:t>
            </w:r>
          </w:p>
        </w:tc>
        <w:tc>
          <w:tcPr>
            <w:tcW w:type="dxa" w:w="1234"/>
          </w:tcPr>
          <w:p>
            <w:r>
              <w:t>16.1</w:t>
            </w:r>
          </w:p>
        </w:tc>
      </w:tr>
      <w:tr>
        <w:tc>
          <w:tcPr>
            <w:tcW w:type="dxa" w:w="1234"/>
          </w:tcPr>
          <w:p>
            <w:r>
              <w:t>男性</w:t>
            </w:r>
          </w:p>
        </w:tc>
        <w:tc>
          <w:tcPr>
            <w:tcW w:type="dxa" w:w="1234"/>
          </w:tcPr>
          <w:p>
            <w:r>
              <w:t>70s</w:t>
            </w:r>
          </w:p>
        </w:tc>
        <w:tc>
          <w:tcPr>
            <w:tcW w:type="dxa" w:w="1234"/>
          </w:tcPr>
          <w:p>
            <w:r>
              <w:t>10.4</w:t>
            </w:r>
          </w:p>
        </w:tc>
        <w:tc>
          <w:tcPr>
            <w:tcW w:type="dxa" w:w="1234"/>
          </w:tcPr>
          <w:p>
            <w:r>
              <w:t>13.4</w:t>
            </w:r>
          </w:p>
        </w:tc>
        <w:tc>
          <w:tcPr>
            <w:tcW w:type="dxa" w:w="1234"/>
          </w:tcPr>
          <w:p>
            <w:r>
              <w:t>20.8</w:t>
            </w:r>
          </w:p>
        </w:tc>
        <w:tc>
          <w:tcPr>
            <w:tcW w:type="dxa" w:w="1234"/>
          </w:tcPr>
          <w:p>
            <w:r>
              <w:t>33.2</w:t>
            </w:r>
          </w:p>
        </w:tc>
        <w:tc>
          <w:tcPr>
            <w:tcW w:type="dxa" w:w="1234"/>
          </w:tcPr>
          <w:p>
            <w:r>
              <w:t>50.0</w:t>
            </w:r>
          </w:p>
        </w:tc>
      </w:tr>
      <w:tr>
        <w:tc>
          <w:tcPr>
            <w:tcW w:type="dxa" w:w="1234"/>
          </w:tcPr>
          <w:p>
            <w:r>
              <w:t>女性</w:t>
            </w:r>
          </w:p>
        </w:tc>
        <w:tc>
          <w:tcPr>
            <w:tcW w:type="dxa" w:w="1234"/>
          </w:tcPr>
          <w:p>
            <w:r>
              <w:t>20s</w:t>
            </w:r>
          </w:p>
        </w:tc>
        <w:tc>
          <w:tcPr>
            <w:tcW w:type="dxa" w:w="1234"/>
          </w:tcPr>
          <w:p>
            <w:r>
              <w:t>0.0</w:t>
            </w:r>
          </w:p>
        </w:tc>
        <w:tc>
          <w:tcPr>
            <w:tcW w:type="dxa" w:w="1234"/>
          </w:tcPr>
          <w:p>
            <w:r>
              <w:t>0.0</w:t>
            </w:r>
          </w:p>
        </w:tc>
        <w:tc>
          <w:tcPr>
            <w:tcW w:type="dxa" w:w="1234"/>
          </w:tcPr>
          <w:p>
            <w:r>
              <w:t>0.0</w:t>
            </w:r>
          </w:p>
        </w:tc>
        <w:tc>
          <w:tcPr>
            <w:tcW w:type="dxa" w:w="1234"/>
          </w:tcPr>
          <w:p>
            <w:r>
              <w:t>0.0</w:t>
            </w:r>
          </w:p>
        </w:tc>
        <w:tc>
          <w:tcPr>
            <w:tcW w:type="dxa" w:w="1234"/>
          </w:tcPr>
          <w:p>
            <w:r>
              <w:t>0.0</w:t>
            </w:r>
          </w:p>
        </w:tc>
      </w:tr>
      <w:tr>
        <w:tc>
          <w:tcPr>
            <w:tcW w:type="dxa" w:w="1234"/>
          </w:tcPr>
          <w:p>
            <w:r>
              <w:t>女性</w:t>
            </w:r>
          </w:p>
        </w:tc>
        <w:tc>
          <w:tcPr>
            <w:tcW w:type="dxa" w:w="1234"/>
          </w:tcPr>
          <w:p>
            <w:r>
              <w:t>50s</w:t>
            </w:r>
          </w:p>
        </w:tc>
        <w:tc>
          <w:tcPr>
            <w:tcW w:type="dxa" w:w="1234"/>
          </w:tcPr>
          <w:p>
            <w:r>
              <w:t>3.1</w:t>
            </w:r>
          </w:p>
        </w:tc>
        <w:tc>
          <w:tcPr>
            <w:tcW w:type="dxa" w:w="1234"/>
          </w:tcPr>
          <w:p>
            <w:r>
              <w:t>3.7</w:t>
            </w:r>
          </w:p>
        </w:tc>
        <w:tc>
          <w:tcPr>
            <w:tcW w:type="dxa" w:w="1234"/>
          </w:tcPr>
          <w:p>
            <w:r>
              <w:t>5.0</w:t>
            </w:r>
          </w:p>
        </w:tc>
        <w:tc>
          <w:tcPr>
            <w:tcW w:type="dxa" w:w="1234"/>
          </w:tcPr>
          <w:p>
            <w:r>
              <w:t>7.4</w:t>
            </w:r>
          </w:p>
        </w:tc>
        <w:tc>
          <w:tcPr>
            <w:tcW w:type="dxa" w:w="1234"/>
          </w:tcPr>
          <w:p>
            <w:r>
              <w:t>11.9</w:t>
            </w:r>
          </w:p>
        </w:tc>
      </w:tr>
      <w:tr>
        <w:tc>
          <w:tcPr>
            <w:tcW w:type="dxa" w:w="1234"/>
          </w:tcPr>
          <w:p>
            <w:r>
              <w:t>女性</w:t>
            </w:r>
          </w:p>
        </w:tc>
        <w:tc>
          <w:tcPr>
            <w:tcW w:type="dxa" w:w="1234"/>
          </w:tcPr>
          <w:p>
            <w:r>
              <w:t>70s</w:t>
            </w:r>
          </w:p>
        </w:tc>
        <w:tc>
          <w:tcPr>
            <w:tcW w:type="dxa" w:w="1234"/>
          </w:tcPr>
          <w:p>
            <w:r>
              <w:t>11.6</w:t>
            </w:r>
          </w:p>
        </w:tc>
        <w:tc>
          <w:tcPr>
            <w:tcW w:type="dxa" w:w="1234"/>
          </w:tcPr>
          <w:p>
            <w:r>
              <w:t>14.4</w:t>
            </w:r>
          </w:p>
        </w:tc>
        <w:tc>
          <w:tcPr>
            <w:tcW w:type="dxa" w:w="1234"/>
          </w:tcPr>
          <w:p>
            <w:r>
              <w:t>19.3</w:t>
            </w:r>
          </w:p>
        </w:tc>
        <w:tc>
          <w:tcPr>
            <w:tcW w:type="dxa" w:w="1234"/>
          </w:tcPr>
          <w:p>
            <w:r>
              <w:t>27.0</w:t>
            </w:r>
          </w:p>
        </w:tc>
        <w:tc>
          <w:tcPr>
            <w:tcW w:type="dxa" w:w="1234"/>
          </w:tcPr>
          <w:p>
            <w:r>
              <w:t>38.8</w:t>
            </w:r>
          </w:p>
        </w:tc>
      </w:tr>
    </w:tbl>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42.5 dB (IQR 37.5–47.5)</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SNHL_Age:60/60; SNHL_NoiseNotch:60/60; SNHL_Meniere:60/60; SNHL_Sudden:60/60; SNHL_Mumps:60/60; CHL_OME:60/60; CHL_AOM:6</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記述。合否基準なし。全件不一致は非要求。条件表は下表。</w:t>
            </w:r>
          </w:p>
        </w:tc>
      </w:tr>
    </w:tbl>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・ムンプス難聴の高度床（程度≥1）：病側平均気導≥70 dBかつ一側差≥55 dB。学習者向け無作為選択では軽度を選ばないが、検証グリッドでは程度1も明示指定で生成し、深度は中等度相当として高度床を満たす。</w:t>
      </w:r>
    </w:p>
    <w:p>
      <w:r>
        <w:t>・加齢効果（T1）：70歳代と20歳代の4、8 kHz気導の単純平均の差。</w:t>
      </w:r>
    </w:p>
    <w:p>
      <w:r>
        <w:t>・C5-dipの深さ：4 kHz−2 kHzおよび4 kHz−8 kHz（気導、程度≥1）。規則は双方に10 dB床を課す。</w:t>
      </w:r>
    </w:p>
    <w:p>
      <w:r>
        <w:t>・Carhart様の深さ：BC 2 kHz − mean(BC 1 kHz, BC 4 kHz)（付与例）。深さ下限は5 dB（識別可能な最小切痕としての著者設定）。</w:t>
      </w:r>
    </w:p>
    <w:p>
      <w:r>
        <w:t>・伝音ABG：病側・骨導測定周波数（0.25–4 kHz）ごとの気導−骨導。記述統計の集計には規則の対象外周波数も含む。対象外周波数では教育用に骨導≤気導＋5 dBを許容するため、ABGとして−5 dBが観測されうる。</w:t>
      </w:r>
    </w:p>
    <w:p>
      <w:r>
        <w:t>・スケールアウト（SO）：当該周波数の教育用気導上限値を数値として保持しSOフラグを付す。上限＋5 dB等の外挿代入は行わない。一側差・平均の算出はこの数値を用いる。</w:t>
      </w:r>
    </w:p>
    <w:p>
      <w:pPr>
        <w:pStyle w:val="Heading2"/>
      </w:pPr>
      <w:r>
        <w:t>4．記述統計（グリッド由来）</w:t>
      </w:r>
    </w:p>
    <w:p>
      <w:r>
        <w:t>・伝音ABG（病側・骨導周波数・一括）：n=19200、中央値15.0 dB（四分位範囲10.0–25.0、範囲-5.0–50.0）。※規則の対象外周波数も含むため最小値に−5 dBが観測された。規則指定周波数では所定の最小ABGを満たした。</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kHz気導、程度≥1）：n=720、中央値25.0 dB（四分位範囲20.0–30.0、範囲10.0–65.0）</w:t>
      </w:r>
    </w:p>
    <w:p>
      <w:r>
        <w:t>・C5-dipの深さ（4 kHz−8 kHz気導、程度≥1）：n=720、中央値15.0 dB（四分位範囲10.0–20.0、範囲10.0–45.0）</w:t>
      </w:r>
    </w:p>
    <w:p>
      <w:r>
        <w:t>・C5-dipの深さ（min(4k−2k, 4k−8k)、程度≥1）：n=720、中央値15.0 dB（四分位範囲10.0–20.0、範囲10.0–35.0）</w:t>
      </w:r>
    </w:p>
    <w:p>
      <w:r>
        <w:t>・Carhart様の深さ（付与例）：n=576、中央値7.5 dB（四分位範囲7.5–12.5、範囲5.0–22.5）</w:t>
      </w:r>
    </w:p>
    <w:p>
      <w:r>
        <w:t>・一側差 Sudden（程度≥1全体）：n=720、中央値51.7 dB（四分位範囲40.0–70.0、範囲30.0–108.3）</w:t>
      </w:r>
    </w:p>
    <w:p>
      <w:r>
        <w:t>・一側差 Sudden 程度1／2／3：中央値36.7／51.7／73.3 dB（各n=240）。程度≥1は全例≥30 dB。</w:t>
      </w:r>
    </w:p>
    <w:p>
      <w:r>
        <w:t>・一側差 Mumps（程度≥1全体）：n=720、中央値95.0 dB（四分位範囲86.7–106.7、範囲78.3–108.3）</w:t>
      </w:r>
    </w:p>
    <w:p>
      <w:r>
        <w:t>・一側差 Mumps 程度1／2／3：中央値89.2／90.0／96.7 dB（各n=240）。程度次元は高度床によりほぼ縮退している。</w:t>
      </w:r>
    </w:p>
    <w:p>
      <w:r>
        <w:t>・Sudden SO（程度≥1）：なし555件、高音域のみ139件、全周26件。程度2では高音域のみ51件・全周0件、程度3では高音域のみ88件・全周26件。</w:t>
      </w:r>
    </w:p>
    <w:p>
      <w:r>
        <w:t>・Mumps 全周SO（程度≥1）：354/720（49.2%）</w:t>
      </w:r>
    </w:p>
    <w:p>
      <w:r>
        <w:t>・床規則の別掲（全周SOを除く）：突発一側差 694/694、突発程度3 214/214、ムンプス 366/366、ムンプス（0.5/1/2 kHzにSOなし） 366/366。主合否の720/720はSOを含めた評価である。</w:t>
      </w:r>
    </w:p>
    <w:p>
      <w:r>
        <w:t>・Carhart様変化：グリッド576/720（80.0%）。T6a/T6bは同じ200件（中等度）。</w:t>
      </w:r>
    </w:p>
    <w:p>
      <w:r>
        <w:t>・AOM混合型：グリッド361/720（50.1%）。T6c/T6dは同じ200件（中等度）。</w:t>
      </w:r>
    </w:p>
    <w:p>
      <w:pPr>
        <w:pStyle w:val="Heading2"/>
      </w:pPr>
      <w:r>
        <w:t>5．異常系テスト（意図的異常挿入）</w:t>
      </w:r>
    </w:p>
    <w:p>
      <w:r>
        <w:t>正常・適合データ13項目と規則違反データ18項目の計31項目。規則違反18件はすべて不適合と判定された。生成プログラム本体の改変ではなく、正常生成結果または合成閾値に意図的変更を加えて検証スクリプトへ入力した。</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正常・適合データ（上限境界・ムンプス床を含む）</w:t>
            </w:r>
          </w:p>
        </w:tc>
        <w:tc>
          <w:tcPr>
            <w:tcW w:type="dxa" w:w="2880"/>
          </w:tcPr>
          <w:p>
            <w:r>
              <w:t>PASS</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dB床未満）</w:t>
            </w:r>
          </w:p>
        </w:tc>
        <w:tc>
          <w:tcPr>
            <w:tcW w:type="dxa" w:w="2880"/>
          </w:tcPr>
          <w:p>
            <w:r>
              <w:t>FAIL</w:t>
            </w:r>
          </w:p>
        </w:tc>
      </w:tr>
      <w:tr>
        <w:tc>
          <w:tcPr>
            <w:tcW w:type="dxa" w:w="2880"/>
          </w:tcPr>
          <w:p>
            <w:r>
              <w:t>M20</w:t>
            </w:r>
          </w:p>
        </w:tc>
        <w:tc>
          <w:tcPr>
            <w:tcW w:type="dxa" w:w="2880"/>
          </w:tcPr>
          <w:p>
            <w:r>
              <w:t>ムンプスで病側平均が高度床未満</w:t>
            </w:r>
          </w:p>
        </w:tc>
        <w:tc>
          <w:tcPr>
            <w:tcW w:type="dxa" w:w="2880"/>
          </w:tcPr>
          <w:p>
            <w:r>
              <w:t>FAIL</w:t>
            </w:r>
          </w:p>
        </w:tc>
      </w:tr>
    </w:tbl>
    <w:p>
      <w:r>
        <w:t>NaNや必要周波数の欠損など、生成器が通常出力しない無効値は本稿の異常系対象外とした。</w:t>
      </w:r>
    </w:p>
    <w:p>
      <w:pPr>
        <w:pStyle w:val="Heading2"/>
      </w:pPr>
      <w:r>
        <w:t>6．補足</w:t>
      </w:r>
    </w:p>
    <w:p>
      <w:r>
        <w:t>・T7（突発一側差の焦点検証）は程度を中等度（程度2）に固定した条件であり、程度別の記述統計とは対象が異なる。規則床は程度≥1と同じ≥30 dBである。</w:t>
      </w:r>
    </w:p>
    <w:p>
      <w:r>
        <w:t>・ASA/ANSI S3.6およびISO 8253-1は、オージオメータ仕様および純音聴力検査手順の参照であり、生成器そのものの規格認証を意味しない。</w:t>
      </w:r>
    </w:p>
    <w:p>
      <w:r>
        <w:t>・本付録は出力規則への適合確認の詳細であり、生成像の臨床的妥当性や教育効果を示すものではない。</w:t>
      </w:r>
    </w:p>
    <w:p>
      <w:r>
        <w:t>・伝音ABGはパターン別に集計した（滲出性／急性・伝音型／急性・混合型／耳硬化／耳小骨離断）。詳細は表3を参照。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