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  <w:jc w:val="center"/>
      </w:pPr>
      <w:r>
        <w:rPr>
          <w:b/>
          <w:bCs/>
          <w:color w:val="1F2A44"/>
          <w:sz w:val="56"/>
          <w:szCs w:val="56"/>
        </w:rPr>
        <w:t xml:space="preserve">GAJIPAY SDN BHD</w:t>
      </w:r>
    </w:p>
    <w:p>
      <w:pPr>
        <w:spacing w:before="200"/>
        <w:jc w:val="center"/>
      </w:pPr>
      <w:r>
        <w:rPr>
          <w:b/>
          <w:bCs/>
          <w:color w:val="B08D57"/>
          <w:sz w:val="32"/>
          <w:szCs w:val="32"/>
        </w:rPr>
        <w:t xml:space="preserve">Business Strategy &amp; Corporate Proposal</w:t>
      </w:r>
    </w:p>
    <w:p>
      <w:pPr>
        <w:spacing w:before="100"/>
        <w:jc w:val="center"/>
      </w:pPr>
      <w:r>
        <w:rPr>
          <w:i/>
          <w:iCs/>
          <w:color w:val="5B5B5B"/>
          <w:sz w:val="24"/>
          <w:szCs w:val="24"/>
        </w:rPr>
        <w:t xml:space="preserve">Earned Wage Access, HR &amp; Corporate Compliance Platform for the Malaysia Market</w:t>
      </w:r>
    </w:p>
    <w:p>
      <w:pPr>
        <w:spacing w:before="800"/>
        <w:jc w:val="center"/>
      </w:pPr>
      <w:r>
        <w:rPr>
          <w:color w:val="5B5B5B"/>
          <w:sz w:val="22"/>
          <w:szCs w:val="22"/>
        </w:rPr>
        <w:t xml:space="preserve">Prepared: July 2026</w:t>
      </w:r>
    </w:p>
    <w:p>
      <w:pPr>
        <w:spacing w:before="100"/>
        <w:jc w:val="center"/>
      </w:pPr>
      <w:r>
        <w:rPr>
          <w:color w:val="5B5B5B"/>
          <w:sz w:val="20"/>
          <w:szCs w:val="20"/>
        </w:rPr>
        <w:t xml:space="preserve">Status: Task 1 of 3 — website and brand identity design on hold pending sign-off of this strategy</w:t>
      </w:r>
    </w:p>
    <w:p>
      <w:pPr>
        <w:spacing w:before="100"/>
        <w:jc w:val="center"/>
      </w:pPr>
      <w:r>
        <w:rPr>
          <w:b/>
          <w:bCs/>
          <w:color w:val="5B5B5B"/>
          <w:sz w:val="20"/>
          <w:szCs w:val="20"/>
        </w:rPr>
        <w:t xml:space="preserve">Strictly Private &amp; Confidential</w:t>
      </w:r>
    </w:p>
    <w:p>
      <w:r>
        <w:br w:type="page"/>
      </w:r>
    </w:p>
    <w:p>
      <w:pPr>
        <w:pStyle w:val="Heading1"/>
        <w:spacing w:after="200" w:before="400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00"/>
      </w:pPr>
      <w:r>
        <w:t xml:space="preserve">1. Executive Summary</w:t>
      </w:r>
    </w:p>
    <w:p>
      <w:pPr>
        <w:spacing w:after="160" w:line="276"/>
      </w:pPr>
      <w:r>
        <w:rPr>
          <w:sz w:val="22"/>
          <w:szCs w:val="22"/>
        </w:rPr>
        <w:t xml:space="preserve">GajiPay Sdn Bhd is positioned to become Malaysia's leading integrated employee financial wellness and HR compliance platform, built around a flagship Earned Wage Access (EWA) “Advance Pay” product and cross-sold through four supporting service lines: HR Portal, Payroll Services, Company Secretary Services, and an Audit &amp; Accounting referral channel.</w:t>
      </w:r>
    </w:p>
    <w:p>
      <w:pPr>
        <w:spacing w:after="160" w:line="276"/>
      </w:pPr>
      <w:r>
        <w:rPr>
          <w:sz w:val="22"/>
          <w:szCs w:val="22"/>
        </w:rPr>
        <w:t xml:space="preserve">Malaysia's 1.2+ million MSMEs (97% of all business establishments, 48% of national employment, 39.5% of GDP) are structurally underserved: enterprise-grade HR suites like Employment Hero price them out or over-serve them, pure-play EWA fintechs (Paywatch, Payd, HariGaji) sell a single point-solution with no compliance stack behind it, and traditional company secretary, payroll, and audit firms remain paper-based, disconnected, and reactive.</w:t>
      </w:r>
    </w:p>
    <w:p>
      <w:pPr>
        <w:spacing w:after="160" w:line="276"/>
      </w:pPr>
      <w:r>
        <w:rPr>
          <w:sz w:val="22"/>
          <w:szCs w:val="22"/>
        </w:rPr>
        <w:t xml:space="preserve">GajiPay's strategy is to win the compliance relationship first, then unlock the fintech relationship. Every company in Malaysia is legally required to have a company secretary and to run statutory payroll (EPF/SOCSO/EIS/PCB). These are low-margin but mandatory, sticky, and recurring — they are the wedge. Once GajiPay operates the payroll data pipe, it can safely and accurately calculate real-time earned-wage balances, which is the single hardest technical and compliance problem in EWA. That data advantage becomes the moat competitors without a payroll book of business cannot easily replicate.</w:t>
      </w:r>
    </w:p>
    <w:p>
      <w:pPr>
        <w:spacing w:after="160" w:line="276"/>
      </w:pPr>
      <w:r>
        <w:rPr>
          <w:sz w:val="22"/>
          <w:szCs w:val="22"/>
        </w:rPr>
        <w:t xml:space="preserve">Critically, GajiPay will </w:t>
      </w:r>
      <w:r>
        <w:rPr>
          <w:b/>
          <w:bCs/>
          <w:sz w:val="22"/>
          <w:szCs w:val="22"/>
        </w:rPr>
        <w:t xml:space="preserve">not</w:t>
      </w:r>
      <w:r>
        <w:rPr>
          <w:sz w:val="22"/>
          <w:szCs w:val="22"/>
        </w:rPr>
        <w:t xml:space="preserve"> hold a moneylending license and does not intend to obtain one. The strategy relies on structuring Advance Pay within the exemption under the Moneylenders Act 1951 for employer-facilitated financial assistance to employees, combined with strict adherence to Sections 22 and 27 of the Employment Act 1955 (advances capped at wages already earned; no interest charged). This mirrors the legal structure already used successfully by HariGaji/altHR and Paywatch in Malaysia, and is reinforced by the AmBank–Ramssol “Pay Day Now” precedent, which pairs a licensed financial institution with a payroll technology partner.</w:t>
      </w:r>
    </w:p>
    <w:p>
      <w:pPr>
        <w:spacing w:after="160" w:line="276"/>
      </w:pPr>
      <w:r>
        <w:rPr>
          <w:sz w:val="22"/>
          <w:szCs w:val="22"/>
        </w:rPr>
        <w:t xml:space="preserve">This document sets out the market analysis, competitive landscape, differentiated positioning, prioritized service-line strategy, go-to-market plan, regulatory strategy, operating model, risks, and phased roadmap. Financial projections (P&amp;L, cash flow, break-even, IRR) are intentionally scoped out of this document and will be delivered as a separate financial model once this strategy is approved.</w:t>
      </w:r>
    </w:p>
    <w:p>
      <w:pPr>
        <w:pStyle w:val="Heading1"/>
        <w:spacing w:after="200" w:before="400"/>
      </w:pPr>
      <w:r>
        <w:t xml:space="preserve">2. Company Overview</w:t>
      </w:r>
    </w:p>
    <w:p>
      <w:pPr>
        <w:spacing w:after="160" w:line="276"/>
      </w:pPr>
      <w:r>
        <w:rPr>
          <w:b/>
          <w:bCs/>
          <w:sz w:val="22"/>
          <w:szCs w:val="22"/>
        </w:rPr>
        <w:t xml:space="preserve">Company: </w:t>
      </w:r>
      <w:r>
        <w:rPr>
          <w:sz w:val="22"/>
          <w:szCs w:val="22"/>
        </w:rPr>
        <w:t xml:space="preserve">GajiPay Sdn Bhd</w:t>
      </w:r>
    </w:p>
    <w:p>
      <w:pPr>
        <w:spacing w:after="160" w:line="276"/>
      </w:pPr>
      <w:r>
        <w:rPr>
          <w:b/>
          <w:bCs/>
          <w:sz w:val="22"/>
          <w:szCs w:val="22"/>
        </w:rPr>
        <w:t xml:space="preserve">Tagline (working): </w:t>
      </w:r>
      <w:r>
        <w:rPr>
          <w:sz w:val="22"/>
          <w:szCs w:val="22"/>
        </w:rPr>
        <w:t xml:space="preserve">“From payslip to progress.”</w:t>
      </w:r>
    </w:p>
    <w:p>
      <w:pPr>
        <w:pStyle w:val="Heading3"/>
        <w:spacing w:after="100" w:before="200"/>
      </w:pPr>
      <w:r>
        <w:t xml:space="preserve">Core services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5800"/>
      </w:tblGrid>
      <w:tr>
        <w:trPr>
          <w:tblHeader/>
        </w:trPr>
        <w:tc>
          <w:tcPr>
            <w:tcW w:type="dxa" w:w="70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580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 in the business</w:t>
            </w:r>
          </w:p>
        </w:tc>
      </w:tr>
      <w:tr>
        <w:tc>
          <w:tcPr>
            <w:tcW w:type="dxa" w:w="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Advance Pay (EWA)</w:t>
            </w:r>
          </w:p>
        </w:tc>
        <w:tc>
          <w:tcPr>
            <w:tcW w:type="dxa" w:w="5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Flagship growth product; primary brand driver; embedded in HR Portal</w:t>
            </w:r>
          </w:p>
        </w:tc>
      </w:tr>
      <w:tr>
        <w:tc>
          <w:tcPr>
            <w:tcW w:type="dxa" w:w="700"/>
            <w:shd w:fill="F2EFE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shd w:fill="F2EFE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HR Portal</w:t>
            </w:r>
          </w:p>
        </w:tc>
        <w:tc>
          <w:tcPr>
            <w:tcW w:type="dxa" w:w="5800"/>
            <w:shd w:fill="F2EFE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Acquisition and retention wedge; system of record that powers EWA eligibility</w:t>
            </w:r>
          </w:p>
        </w:tc>
      </w:tr>
      <w:tr>
        <w:tc>
          <w:tcPr>
            <w:tcW w:type="dxa" w:w="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Payroll Services</w:t>
            </w:r>
          </w:p>
        </w:tc>
        <w:tc>
          <w:tcPr>
            <w:tcW w:type="dxa" w:w="5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Recurring statutory revenue; the data engine EWA depends on</w:t>
            </w:r>
          </w:p>
        </w:tc>
      </w:tr>
      <w:tr>
        <w:tc>
          <w:tcPr>
            <w:tcW w:type="dxa" w:w="700"/>
            <w:shd w:fill="F2EFE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shd w:fill="F2EFE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Company Secretary Services</w:t>
            </w:r>
          </w:p>
        </w:tc>
        <w:tc>
          <w:tcPr>
            <w:tcW w:type="dxa" w:w="5800"/>
            <w:shd w:fill="F2EFE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Mandatory, high-retention, low-cost-to-serve compliance revenue and lead source</w:t>
            </w:r>
          </w:p>
        </w:tc>
      </w:tr>
      <w:tr>
        <w:tc>
          <w:tcPr>
            <w:tcW w:type="dxa" w:w="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Audit &amp; Accounting (referral)</w:t>
            </w:r>
          </w:p>
        </w:tc>
        <w:tc>
          <w:tcPr>
            <w:tcW w:type="dxa" w:w="5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Zero-license, margin-accretive referral revenue; deepens the trusted back-office relationship</w:t>
            </w:r>
          </w:p>
        </w:tc>
      </w:tr>
    </w:tbl>
    <w:p>
      <w:pPr>
        <w:spacing w:after="150"/>
      </w:pPr>
    </w:p>
    <w:p>
      <w:pPr>
        <w:spacing w:after="160" w:line="276"/>
      </w:pPr>
      <w:r>
        <w:rPr>
          <w:b/>
          <w:bCs/>
          <w:sz w:val="22"/>
          <w:szCs w:val="22"/>
        </w:rPr>
        <w:t xml:space="preserve">Mission: </w:t>
      </w:r>
      <w:r>
        <w:rPr>
          <w:sz w:val="22"/>
          <w:szCs w:val="22"/>
        </w:rPr>
        <w:t xml:space="preserve">Give every Malaysian employee real-time visibility and fair access to wages they have already earned, while giving every Malaysian employer a single, compliant back office for HR, payroll, and statutory obligations.</w:t>
      </w:r>
    </w:p>
    <w:p>
      <w:pPr>
        <w:spacing w:after="160" w:line="276"/>
      </w:pPr>
      <w:r>
        <w:rPr>
          <w:b/>
          <w:bCs/>
          <w:sz w:val="22"/>
          <w:szCs w:val="22"/>
        </w:rPr>
        <w:t xml:space="preserve">Vision: </w:t>
      </w:r>
      <w:r>
        <w:rPr>
          <w:sz w:val="22"/>
          <w:szCs w:val="22"/>
        </w:rPr>
        <w:t xml:space="preserve">Become the default back-office and financial wellness layer for Malaysian SMEs — the “operating system” between employer and employee.</w:t>
      </w:r>
    </w:p>
    <w:p>
      <w:pPr>
        <w:pStyle w:val="Heading1"/>
        <w:spacing w:after="200" w:before="400"/>
      </w:pPr>
      <w:r>
        <w:t xml:space="preserve">3. Market Analysis</w:t>
      </w:r>
    </w:p>
    <w:p>
      <w:pPr>
        <w:pStyle w:val="Heading2"/>
        <w:spacing w:after="150" w:before="300"/>
      </w:pPr>
      <w:r>
        <w:t xml:space="preserve">3.1 Malaysia macro context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MSMEs account for ~97% of all business establishments in Malaysia, ~48% of total employment, and contributed RM652.4 billion (39.5% of GDP) in 2024, growing faster than the overall economy (5.8% vs. 5.1% national GDP growth).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This is the addressable base for GajiPay: a huge, fragmented population of employers who are legally obligated to run payroll and retain a company secretary, but are largely unable to afford — or uninterested in — enterprise HR software.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Malaysia's workforce skews heavily toward hourly, shift, and lower-to-middle income employees (retail, F&amp;B, manufacturing, logistics, security, construction, healthcare support) who are the primary beneficiaries of EWA and the most turnover-sensitive to cash-flow stress.</w:t>
      </w:r>
    </w:p>
    <w:p>
      <w:pPr>
        <w:pStyle w:val="Heading2"/>
        <w:spacing w:after="150" w:before="300"/>
      </w:pPr>
      <w:r>
        <w:t xml:space="preserve">3.2 Earned Wage Access market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The global EWA market is projected to grow from roughly USD 8.8B (2026) to USD 52B by 2034, and Southeast Asia is one of the fastest-growing regions, evidenced by Kredivo Group's acquisition of Indonesia's GajiGesa (350,000+ employees on platform) in February 2025.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Malaysia already has multiple live EWA players (Paywatch, Payd, HariGaji, and the newly launched bank-backed Pay Day Now), which validates demand and regulatory feasibility, but the market is still early and fragmented — no single player has become the default, and none currently bundles EWA with the full statutory compliance stack GajiPay is proposing.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Employer-sponsored EWA (integrated with payroll, at no or low cost to the employer) is the dominant and fastest-growing global model, reinforcing GajiPay's payroll-led approach over a standalone consumer app.</w:t>
      </w:r>
    </w:p>
    <w:p>
      <w:pPr>
        <w:pStyle w:val="Heading2"/>
        <w:spacing w:after="150" w:before="300"/>
      </w:pPr>
      <w:r>
        <w:t xml:space="preserve">3.3 Regulatory environment (summary — full treatment in Section 8)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Employment Act 1955, s.22(1): an employer may not advance wages beyond what has already been earned — the legal ceiling on Advance Pay balances.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Employment Act 1955, s.27: employers are prohibited from charging interest on salary advances — GajiPay's revenue must be a flat processing/service fee, consistent with every credible competitor.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Moneylenders Act 1951: employer-to-own-employee financial assistance, non-profit or reasonable-fee, is excluded from moneylending licensing — the load-bearing legal structure for Advance Pay.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PDPA 2010: GajiPay will process sensitive payroll, salary, and banking data at scale, requiring a robust data protection and consent framework from day one.</w:t>
      </w:r>
    </w:p>
    <w:p>
      <w:pPr>
        <w:pStyle w:val="Heading1"/>
        <w:spacing w:after="200" w:before="400"/>
      </w:pPr>
      <w:r>
        <w:t xml:space="preserve">4. Competitive Landscape</w:t>
      </w:r>
    </w:p>
    <w:p>
      <w:pPr>
        <w:pStyle w:val="Heading2"/>
        <w:spacing w:after="150" w:before="300"/>
      </w:pPr>
      <w:r>
        <w:t xml:space="preserve">4.1 Direct EWA competitors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900"/>
        <w:gridCol w:w="1700"/>
        <w:gridCol w:w="1900"/>
      </w:tblGrid>
      <w:tr>
        <w:trPr>
          <w:tblHeader/>
        </w:trPr>
        <w:tc>
          <w:tcPr>
            <w:tcW w:type="dxa" w:w="200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Player</w:t>
            </w:r>
          </w:p>
        </w:tc>
        <w:tc>
          <w:tcPr>
            <w:tcW w:type="dxa" w:w="390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70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Fee</w:t>
            </w:r>
          </w:p>
        </w:tc>
        <w:tc>
          <w:tcPr>
            <w:tcW w:type="dxa" w:w="190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Backing / Notes</w:t>
            </w:r>
          </w:p>
        </w:tc>
      </w:tr>
      <w:tr>
        <w:tc>
          <w:tcPr>
            <w:tcW w:type="dxa" w:w="2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Paywatch</w:t>
            </w:r>
          </w:p>
        </w:tc>
        <w:tc>
          <w:tcPr>
            <w:tcW w:type="dxa" w:w="3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Leading SEA EWA by volume; app-based, employer API integration; withdraw up to 50% of earned wages</w:t>
            </w:r>
          </w:p>
        </w:tc>
        <w:tc>
          <w:tcPr>
            <w:tcW w:type="dxa" w:w="1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Flat RM2/transaction</w:t>
            </w:r>
          </w:p>
        </w:tc>
        <w:tc>
          <w:tcPr>
            <w:tcW w:type="dxa" w:w="1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RM141M Series A raised; expanding MY, PH, ID, KR</w:t>
            </w:r>
          </w:p>
        </w:tc>
      </w:tr>
      <w:tr>
        <w:tc>
          <w:tcPr>
            <w:tcW w:type="dxa" w:w="2000"/>
            <w:shd w:fill="F2EFE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Payd</w:t>
            </w:r>
          </w:p>
        </w:tc>
        <w:tc>
          <w:tcPr>
            <w:tcW w:type="dxa" w:w="3900"/>
            <w:shd w:fill="F2EFE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Shariah-compliant EWA; on-demand access</w:t>
            </w:r>
          </w:p>
        </w:tc>
        <w:tc>
          <w:tcPr>
            <w:tcW w:type="dxa" w:w="1700"/>
            <w:shd w:fill="F2EFE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Not fully disclosed</w:t>
            </w:r>
          </w:p>
        </w:tc>
        <w:tc>
          <w:tcPr>
            <w:tcW w:type="dxa" w:w="1900"/>
            <w:shd w:fill="F2EFE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US$400K seed extension (2025); 100,000+ employees; expanding to Thailand</w:t>
            </w:r>
          </w:p>
        </w:tc>
      </w:tr>
      <w:tr>
        <w:tc>
          <w:tcPr>
            <w:tcW w:type="dxa" w:w="2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HariGaji (altHR/Digi)</w:t>
            </w:r>
          </w:p>
        </w:tc>
        <w:tc>
          <w:tcPr>
            <w:tcW w:type="dxa" w:w="3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Bundled free into Digi's altHR HR super-app; up to 50% of earned wages</w:t>
            </w:r>
          </w:p>
        </w:tc>
        <w:tc>
          <w:tcPr>
            <w:tcW w:type="dxa" w:w="1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RM15 first withdrawal/month, free thereafter</w:t>
            </w:r>
          </w:p>
        </w:tc>
        <w:tc>
          <w:tcPr>
            <w:tcW w:type="dxa" w:w="1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First mover in Malaysia (2020); Digi telco distribution</w:t>
            </w:r>
          </w:p>
        </w:tc>
      </w:tr>
      <w:tr>
        <w:tc>
          <w:tcPr>
            <w:tcW w:type="dxa" w:w="2000"/>
            <w:shd w:fill="F2EFE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Pay Day Now (AmBank × Ramssol)</w:t>
            </w:r>
          </w:p>
        </w:tc>
        <w:tc>
          <w:tcPr>
            <w:tcW w:type="dxa" w:w="3900"/>
            <w:shd w:fill="F2EFE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Bank-backed, integrated into Ramssol payroll; up to 25% of earned wages weekly</w:t>
            </w:r>
          </w:p>
        </w:tc>
        <w:tc>
          <w:tcPr>
            <w:tcW w:type="dxa" w:w="1700"/>
            <w:shd w:fill="F2EFE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RM2–5/withdrawal</w:t>
            </w:r>
          </w:p>
        </w:tc>
        <w:tc>
          <w:tcPr>
            <w:tcW w:type="dxa" w:w="1900"/>
            <w:shd w:fill="F2EFE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Launched 2026; strong trust signal from AmBank; targets SME to large corporates and public sector</w:t>
            </w:r>
          </w:p>
        </w:tc>
      </w:tr>
    </w:tbl>
    <w:p>
      <w:pPr>
        <w:spacing w:after="150"/>
      </w:pPr>
    </w:p>
    <w:p>
      <w:pPr>
        <w:spacing w:after="160" w:line="276"/>
      </w:pPr>
      <w:r>
        <w:rPr>
          <w:b/>
          <w:bCs/>
          <w:sz w:val="22"/>
          <w:szCs w:val="22"/>
        </w:rPr>
        <w:t xml:space="preserve">Read-through: </w:t>
      </w:r>
      <w:r>
        <w:rPr>
          <w:sz w:val="22"/>
          <w:szCs w:val="22"/>
        </w:rPr>
        <w:t xml:space="preserve">every credible player has converged on the same legal/fee structure GajiPay must use (flat fee, no interest, capped % of earned wages), and the market leaders increasingly have a distribution advantage from an adjacent core business — Digi's HR platform, Ramssol's payroll base, AmBank's banking relationships. GajiPay's adjacent core business is its own payroll and company secretary book, a comparable — for the SME segment, arguably stronger — distribution advantage.</w:t>
      </w:r>
    </w:p>
    <w:p>
      <w:pPr>
        <w:pStyle w:val="Heading2"/>
        <w:spacing w:after="150" w:before="300"/>
      </w:pPr>
      <w:r>
        <w:t xml:space="preserve">4.2 HR / Payroll software competitors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00"/>
        <w:gridCol w:w="3600"/>
      </w:tblGrid>
      <w:tr>
        <w:trPr>
          <w:tblHeader/>
        </w:trPr>
        <w:tc>
          <w:tcPr>
            <w:tcW w:type="dxa" w:w="260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Player</w:t>
            </w:r>
          </w:p>
        </w:tc>
        <w:tc>
          <w:tcPr>
            <w:tcW w:type="dxa" w:w="330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Positioning</w:t>
            </w:r>
          </w:p>
        </w:tc>
        <w:tc>
          <w:tcPr>
            <w:tcW w:type="dxa" w:w="360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Employment Hero</w:t>
            </w:r>
          </w:p>
        </w:tc>
        <w:tc>
          <w:tcPr>
            <w:tcW w:type="dxa" w:w="3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Enterprise-grade HR/payroll/benefits suite, AU-origin, MY presence</w:t>
            </w:r>
          </w:p>
        </w:tc>
        <w:tc>
          <w:tcPr>
            <w:tcW w:type="dxa" w:w="3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From ~A$10/employee/month, 10-user minimum — often too expensive/complex for micro-SMEs; no EWA or CoSec</w:t>
            </w:r>
          </w:p>
        </w:tc>
      </w:tr>
      <w:tr>
        <w:tc>
          <w:tcPr>
            <w:tcW w:type="dxa" w:w="2600"/>
            <w:shd w:fill="F2EFE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Swingvy</w:t>
            </w:r>
          </w:p>
        </w:tc>
        <w:tc>
          <w:tcPr>
            <w:tcW w:type="dxa" w:w="3300"/>
            <w:shd w:fill="F2EFE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Design-forward HRMS for SMEs</w:t>
            </w:r>
          </w:p>
        </w:tc>
        <w:tc>
          <w:tcPr>
            <w:tcW w:type="dxa" w:w="3600"/>
            <w:shd w:fill="F2EFE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Strong UX, no compliance bundle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Talenox</w:t>
            </w:r>
          </w:p>
        </w:tc>
        <w:tc>
          <w:tcPr>
            <w:tcW w:type="dxa" w:w="3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Cloud HRIS, MY payroll compliance</w:t>
            </w:r>
          </w:p>
        </w:tc>
        <w:tc>
          <w:tcPr>
            <w:tcW w:type="dxa" w:w="3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Payroll-only focus</w:t>
            </w:r>
          </w:p>
        </w:tc>
      </w:tr>
      <w:tr>
        <w:tc>
          <w:tcPr>
            <w:tcW w:type="dxa" w:w="2600"/>
            <w:shd w:fill="F2EFE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HR2eazy, BrioHR, SQL Payroll, Kakitangan</w:t>
            </w:r>
          </w:p>
        </w:tc>
        <w:tc>
          <w:tcPr>
            <w:tcW w:type="dxa" w:w="3300"/>
            <w:shd w:fill="F2EFE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Various SME-focused HR/payroll tools</w:t>
            </w:r>
          </w:p>
        </w:tc>
        <w:tc>
          <w:tcPr>
            <w:tcW w:type="dxa" w:w="3600"/>
            <w:shd w:fill="F2EFE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Fragmented, feature-competitive, none bundle EWA + CoSec + audit referral</w:t>
            </w:r>
          </w:p>
        </w:tc>
      </w:tr>
    </w:tbl>
    <w:p>
      <w:pPr>
        <w:spacing w:after="150"/>
      </w:pPr>
    </w:p>
    <w:p>
      <w:pPr>
        <w:spacing w:after="160" w:line="276"/>
      </w:pPr>
      <w:r>
        <w:rPr>
          <w:sz w:val="22"/>
          <w:szCs w:val="22"/>
        </w:rPr>
        <w:t xml:space="preserve">Read-through: the HR software market is commoditizing on payroll compliance alone. None of these players combine mandatory compliance (company secretary, audit) with financial wellness (EWA) — this white space is GajiPay's core differentiation.</w:t>
      </w:r>
    </w:p>
    <w:p>
      <w:pPr>
        <w:pStyle w:val="Heading2"/>
        <w:spacing w:after="150" w:before="300"/>
      </w:pPr>
      <w:r>
        <w:t xml:space="preserve">4.3 Company secretary / compliance competitors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Every Malaysian company must appoint an SSM-authorized company secretary within 30 days of incorporation (Companies Act 2016, s.235). Market retainer rates run RM60–150/month, with RM200–500 for annual return filings.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Digital company secretary platforms are digitizing incorporation, e-signature board resolutions, and compliance calendars, increasingly competing on flat, transparent pricing versus traditional firms.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None of these digital CoSec platforms currently bundle payroll, HR, or EWA — the second half of GajiPay's white space.</w:t>
      </w:r>
    </w:p>
    <w:p>
      <w:pPr>
        <w:pStyle w:val="Heading2"/>
        <w:spacing w:after="150" w:before="300"/>
      </w:pPr>
      <w:r>
        <w:t xml:space="preserve">4.4 Competitive positioning summary</w:t>
      </w:r>
    </w:p>
    <w:p>
      <w:pPr>
        <w:spacing w:after="160" w:line="276"/>
      </w:pPr>
      <w:r>
        <w:rPr>
          <w:sz w:val="22"/>
          <w:szCs w:val="22"/>
        </w:rPr>
        <w:t xml:space="preserve">GajiPay is not trying to out-build Employment Hero's enterprise suite, nor out-fund Paywatch's regional EWA scale. GajiPay's wedge is being the only platform that bundles the mandatory compliance stack (Company Secretary + Payroll) with the financial wellness stack (EWA) for the Malaysian SME segment, with Audit &amp; Accounting referral as a natural, low-effort extension once trust is established.</w:t>
      </w:r>
    </w:p>
    <w:p>
      <w:pPr>
        <w:pStyle w:val="Heading1"/>
        <w:spacing w:after="200" w:before="400"/>
      </w:pPr>
      <w:r>
        <w:t xml:space="preserve">5. SWOT</w:t>
      </w:r>
    </w:p>
    <w:p>
      <w:pPr>
        <w:pStyle w:val="Heading2"/>
        <w:spacing w:after="150" w:before="300"/>
      </w:pPr>
      <w:r>
        <w:t xml:space="preserve">Strengths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Green-field brand with no legacy technology debt; can design the payroll-EWA data pipeline correctly from day one.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Bundled model creates a stickier, higher-LTV customer than any single-service competitor.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No moneylending license required — lower regulatory capital burden than a lending-licensed fintech.</w:t>
      </w:r>
    </w:p>
    <w:p>
      <w:pPr>
        <w:pStyle w:val="Heading2"/>
        <w:spacing w:after="150" w:before="300"/>
      </w:pPr>
      <w:r>
        <w:t xml:space="preserve">Weaknesses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New entrant with no brand trust, track record, or existing book of business.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No banking/EMI license — reliant on a partner institution for fund flow and disbursement.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Thin working-capital base versus bank-backed (AmBank) or well-funded (Paywatch: RM141M raised) competitors.</w:t>
      </w:r>
    </w:p>
    <w:p>
      <w:pPr>
        <w:pStyle w:val="Heading2"/>
        <w:spacing w:after="150" w:before="300"/>
      </w:pPr>
      <w:r>
        <w:t xml:space="preserve">Opportunities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97% of Malaysian businesses are MSMEs; the digital CoSec/payroll category remains fragmented with no dominant one-stop player.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Cross-sell flywheel: CoSec/Payroll → HR Portal → EWA → Audit referral, each layer increasing switching cost.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Partnership potential with banks, telcos, or SME associations mirroring the Digi–altHR–HariGaji and AmBank–Ramssol precedents.</w:t>
      </w:r>
    </w:p>
    <w:p>
      <w:pPr>
        <w:pStyle w:val="Heading2"/>
        <w:spacing w:after="150" w:before="300"/>
      </w:pPr>
      <w:r>
        <w:t xml:space="preserve">Threats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Incumbent EWA players (Paywatch, HariGaji) have first-mover distribution advantages through telco/bank partners.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A bank-backed entrant (Pay Day Now) can undercut on trust and capital cost.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Regulatory tightening could raise compliance costs across the industry — GajiPay should engage proactively rather than reactively.</w:t>
      </w:r>
    </w:p>
    <w:p>
      <w:pPr>
        <w:pStyle w:val="Heading1"/>
        <w:spacing w:after="200" w:before="400"/>
      </w:pPr>
      <w:r>
        <w:t xml:space="preserve">6. Target Segments</w:t>
      </w:r>
    </w:p>
    <w:p>
      <w:pPr>
        <w:pStyle w:val="Heading2"/>
        <w:spacing w:after="150" w:before="300"/>
      </w:pPr>
      <w:r>
        <w:t xml:space="preserve">Primary (Phase 1)</w:t>
      </w:r>
    </w:p>
    <w:p>
      <w:pPr>
        <w:spacing w:after="160" w:line="276"/>
      </w:pPr>
      <w:r>
        <w:rPr>
          <w:sz w:val="22"/>
          <w:szCs w:val="22"/>
        </w:rPr>
        <w:t xml:space="preserve">Malaysian SMEs with 20–500 employees in sectors with high proportions of hourly/shift, lower-to-middle income staff and elevated turnover sensitivity: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Food &amp; beverage / retail chains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Manufacturing (factory floor staff)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Logistics, warehousing, last-mile delivery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Security services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Construction and facilities management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Healthcare support / eldercare staffing agencies</w:t>
      </w:r>
    </w:p>
    <w:p>
      <w:pPr>
        <w:pStyle w:val="Heading2"/>
        <w:spacing w:after="150" w:before="300"/>
      </w:pPr>
      <w:r>
        <w:t xml:space="preserve">Secondary (Phase 2)</w:t>
      </w:r>
    </w:p>
    <w:p>
      <w:pPr>
        <w:spacing w:after="160" w:line="276"/>
      </w:pPr>
      <w:r>
        <w:rPr>
          <w:sz w:val="22"/>
          <w:szCs w:val="22"/>
        </w:rPr>
        <w:t xml:space="preserve">Micro-enterprises (&lt;20 employees) via a lightweight, self-serve HR Portal + CoSec bundle, and larger corporates (500+ employees) via direct sales once GajiPay has reference customers and a proven compliance track record.</w:t>
      </w:r>
    </w:p>
    <w:p>
      <w:pPr>
        <w:spacing w:after="160" w:line="276"/>
      </w:pPr>
      <w:r>
        <w:rPr>
          <w:sz w:val="22"/>
          <w:szCs w:val="22"/>
        </w:rPr>
        <w:t xml:space="preserve">Why this segmentation: these sectors combine (a) statutory payroll complexity that creates CoSec/payroll pull, and (b) a workforce demographic with demonstrated appetite for EWA, maximizing the odds that a customer who signs up for compliance services converts into an EWA customer.</w:t>
      </w:r>
    </w:p>
    <w:p>
      <w:pPr>
        <w:pStyle w:val="Heading1"/>
        <w:spacing w:after="200" w:before="400"/>
      </w:pPr>
      <w:r>
        <w:t xml:space="preserve">7. Service Line Strategy</w:t>
      </w:r>
    </w:p>
    <w:p>
      <w:pPr>
        <w:pStyle w:val="Heading2"/>
        <w:spacing w:after="150" w:before="300"/>
      </w:pPr>
      <w:r>
        <w:t xml:space="preserve">7.1 Advance Pay (EWA) — the flagship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Mechanic: employees access a portion of already-earned wages after the 15th of each month, capped at a conservative percentage of wages earned to date (recommend starting at 30–40%, below Paywatch/HariGaji's 50% ceiling and above Pay Day Now's 25%).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Revenue: flat processing fee per withdrawal (benchmark RM2–5), paid by the employee or subsidized by the employer as a benefit — offer both models.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Dependency: requires accurate, real-time attendance/earned-wage data — built on top of GajiPay's own Payroll/HR data, not sold standalone in Phase 1.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Legal structure: GajiPay is the technology/servicing provider enabling the employer to advance already-earned wages, falling within the Moneylenders Act 1951 exemption. Fund disbursement runs through a partner bank or licensed e-money issuer, not GajiPay's balance sheet.</w:t>
      </w:r>
    </w:p>
    <w:p>
      <w:pPr>
        <w:pStyle w:val="Heading2"/>
        <w:spacing w:after="150" w:before="300"/>
      </w:pPr>
      <w:r>
        <w:t xml:space="preserve">7.2 HR Portal — the acquisition and data wedge</w:t>
      </w:r>
    </w:p>
    <w:p>
      <w:pPr>
        <w:spacing w:after="160" w:line="276"/>
      </w:pPr>
      <w:r>
        <w:rPr>
          <w:sz w:val="22"/>
          <w:szCs w:val="22"/>
        </w:rPr>
        <w:t xml:space="preserve">Positioned as the free-to-low-cost entry point (echoing altHR's bundling logic): leave/attendance management, employee self-service, org chart, basic performance tools. Purpose is not to compete feature-for-feature with Employment Hero/Swingvy on day one — it exists to win the employer relationship cheaply, generate the data Advance Pay needs, and build the login habit that makes Advance Pay a one-tap experience.</w:t>
      </w:r>
    </w:p>
    <w:p>
      <w:pPr>
        <w:pStyle w:val="Heading2"/>
        <w:spacing w:after="150" w:before="300"/>
      </w:pPr>
      <w:r>
        <w:t xml:space="preserve">7.3 Payroll Services — the compliance and data engine</w:t>
      </w:r>
    </w:p>
    <w:p>
      <w:pPr>
        <w:spacing w:after="160" w:line="276"/>
      </w:pPr>
      <w:r>
        <w:rPr>
          <w:sz w:val="22"/>
          <w:szCs w:val="22"/>
        </w:rPr>
        <w:t xml:space="preserve">Full statutory payroll processing (EPF, SOCSO, EIS, PCB/MTD, EA forms), priced per-employee/month, competitive with Talenox/HR2eazy/SQL Payroll benchmarks. Once GajiPay runs payroll, switching cost rises sharply across all other service lines, and GajiPay has clean first-party earned-wage data that pure-play EWA competitors must obtain via often-imperfect third-party integrations.</w:t>
      </w:r>
    </w:p>
    <w:p>
      <w:pPr>
        <w:pStyle w:val="Heading2"/>
        <w:spacing w:after="150" w:before="300"/>
      </w:pPr>
      <w:r>
        <w:t xml:space="preserve">7.4 Company Secretary Services — the mandatory wedge</w:t>
      </w:r>
    </w:p>
    <w:p>
      <w:pPr>
        <w:spacing w:after="160" w:line="276"/>
      </w:pPr>
      <w:r>
        <w:rPr>
          <w:sz w:val="22"/>
          <w:szCs w:val="22"/>
        </w:rPr>
        <w:t xml:space="preserve">Every Sdn Bhd needs one; a compliance necessity rather than a discretionary purchase, making it an efficient, low-CAC lead-generation and retention product. Bundle CoSec + incorporation + annual return filing at competitive flat-fee pricing (RM60–150/month retainer, RM500–1,500 incorporation, RM200–500 annual return) with a modern e-signature, digital-first client experience versus traditional firms. CoSec is often the first vendor relationship a new Sdn Bhd forms — winning it early positions GajiPay to cross-sell Payroll, HR Portal, and eventually Advance Pay.</w:t>
      </w:r>
    </w:p>
    <w:p>
      <w:pPr>
        <w:pStyle w:val="Heading2"/>
        <w:spacing w:after="150" w:before="300"/>
      </w:pPr>
      <w:r>
        <w:t xml:space="preserve">7.5 Audit &amp; Accounting — referral revenue</w:t>
      </w:r>
    </w:p>
    <w:p>
      <w:pPr>
        <w:spacing w:after="160" w:line="276"/>
      </w:pPr>
      <w:r>
        <w:rPr>
          <w:sz w:val="22"/>
          <w:szCs w:val="22"/>
        </w:rPr>
        <w:t xml:space="preserve">GajiPay does not hold audit/accounting licenses and will not build this in-house; instead, formal referral partnerships with licensed audit firms and chartered accountants earn referral/commission fees. This closes the loop on the trusted back-office partner positioning at zero regulatory risk and near-zero delivery cost, and gives GajiPay a reason to stay engaged with clients at audit season.</w:t>
      </w:r>
    </w:p>
    <w:p>
      <w:pPr>
        <w:pStyle w:val="Heading2"/>
        <w:spacing w:after="150" w:before="300"/>
      </w:pPr>
      <w:r>
        <w:t xml:space="preserve">7.6 Cross-sell flywheel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New Sdn Bhd incorporated</w:t>
      </w:r>
    </w:p>
    <w:p>
      <w:pPr>
        <w:pStyle w:val="ListParagraph"/>
        <w:numPr>
          <w:ilvl w:val="1"/>
          <w:numId w:val="1"/>
        </w:numPr>
        <w:spacing w:after="80" w:line="276"/>
      </w:pPr>
      <w:r>
        <w:t xml:space="preserve">Company Secretary Services (mandatory, low CAC)</w:t>
      </w:r>
    </w:p>
    <w:p>
      <w:pPr>
        <w:pStyle w:val="ListParagraph"/>
        <w:numPr>
          <w:ilvl w:val="1"/>
          <w:numId w:val="1"/>
        </w:numPr>
        <w:spacing w:after="80" w:line="276"/>
      </w:pPr>
      <w:r>
        <w:t xml:space="preserve">Payroll Services (as company hires staff)</w:t>
      </w:r>
    </w:p>
    <w:p>
      <w:pPr>
        <w:pStyle w:val="ListParagraph"/>
        <w:numPr>
          <w:ilvl w:val="1"/>
          <w:numId w:val="1"/>
        </w:numPr>
        <w:spacing w:after="80" w:line="276"/>
      </w:pPr>
      <w:r>
        <w:t xml:space="preserve">HR Portal (bundled/low-cost, drives engagement + data)</w:t>
      </w:r>
    </w:p>
    <w:p>
      <w:pPr>
        <w:pStyle w:val="ListParagraph"/>
        <w:numPr>
          <w:ilvl w:val="1"/>
          <w:numId w:val="1"/>
        </w:numPr>
        <w:spacing w:after="80" w:line="276"/>
      </w:pPr>
      <w:r>
        <w:t xml:space="preserve">Advance Pay / EWA (flagship, highest engagement + revenue per user)</w:t>
      </w:r>
    </w:p>
    <w:p>
      <w:pPr>
        <w:pStyle w:val="ListParagraph"/>
        <w:numPr>
          <w:ilvl w:val="1"/>
          <w:numId w:val="1"/>
        </w:numPr>
        <w:spacing w:after="80" w:line="276"/>
      </w:pPr>
      <w:r>
        <w:t xml:space="preserve">Audit &amp; Accounting referral (annual, margin-accretive, zero license risk)</w:t>
      </w:r>
    </w:p>
    <w:p>
      <w:pPr>
        <w:spacing w:after="160" w:line="276"/>
      </w:pPr>
      <w:r>
        <w:rPr>
          <w:sz w:val="22"/>
          <w:szCs w:val="22"/>
        </w:rPr>
        <w:t xml:space="preserve">Each stage raises switching cost and lifetime value; Advance Pay is the emotional, high-frequency touchpoint that keeps employees — not just the HR/finance decision-maker — engaged with the GajiPay brand daily.</w:t>
      </w:r>
    </w:p>
    <w:p>
      <w:pPr>
        <w:pStyle w:val="Heading1"/>
        <w:spacing w:after="200" w:before="400"/>
      </w:pPr>
      <w:r>
        <w:t xml:space="preserve">8. Regulatory &amp; Compliance Strategy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Commission a formal legal opinion before public launch confirming Advance Pay's structuring under the Moneylenders Act 1951 exemption and Employment Act 1955 ss.22/27, specifically addressing GajiPay's role as technology/servicing provider versus the employer as the party extending the advance.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Do not hold, lend, or float funds from GajiPay's own balance sheet. Structure disbursement through a partner bank or licensed e-money issuer (EMI) under BNM's e-money framework — mirroring the AmBank–Ramssol precedent — both to avoid inadvertently triggering licensing thresholds and to build institutional trust.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PDPA 2010 compliance by design: formal data protection policy, encryption of salary/bank data at rest and in transit, documented consent flows, and a data retention/deletion policy.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Proactively engage BNM and relevant industry bodies (e.g., Fintech Association of Malaysia) as the EWA category matures, rather than waiting for reactive regulation.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AML/CFT screening on payroll accounts and disbursement flows, particularly once GajiPay handles higher transaction volumes.</w:t>
      </w:r>
    </w:p>
    <w:p>
      <w:pPr>
        <w:pStyle w:val="Heading1"/>
        <w:spacing w:after="200" w:before="400"/>
      </w:pPr>
      <w:r>
        <w:t xml:space="preserve">9. Go-to-Market Strategy</w:t>
      </w:r>
    </w:p>
    <w:p>
      <w:pPr>
        <w:pStyle w:val="Heading2"/>
        <w:spacing w:after="150" w:before="300"/>
      </w:pPr>
      <w:r>
        <w:t xml:space="preserve">9.1 Channels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Accounting &amp; audit firm partnerships: a high-trust referral channel into their SME client base for CoSec and Payroll services.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SME associations &amp; chambers of commerce (SME Corp Malaysia programs, FMM, sector-specific associations) for direct access to the target segment.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Bank and telco partnerships: the Digi–altHR–HariGaji and AmBank–Ramssol deals show that distribution partnerships with institutions that already touch SMEs are the fastest way to scale trust and reach — GajiPay should pursue at least one within 12–18 months of launch.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Direct/inside sales targeting the primary segment sectors, leading with the CoSec/Payroll compliance offer (lower resistance) and Advance Pay as the expansion sell.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Digital marketing &amp; SEO: Malaysian searches around “gaji,” payroll calculators, and company secretary requirements show meaningful organic volume — a content and calculator-tool strategy can capture top-of-funnel demand cheaply.</w:t>
      </w:r>
    </w:p>
    <w:p>
      <w:pPr>
        <w:pStyle w:val="Heading2"/>
        <w:spacing w:after="150" w:before="300"/>
      </w:pPr>
      <w:r>
        <w:t xml:space="preserve">9.2 Sequencing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Land with Company Secretary + Payroll bundle (lowest resistance, mandatory need).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Expand with HR Portal at low/no incremental cost to deepen the relationship and start capturing attendance data.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Activate Advance Pay once payroll/attendance data is clean and the employer relationship is established.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Extend with Audit &amp; Accounting referral at each client's financial year-end.</w:t>
      </w:r>
    </w:p>
    <w:p>
      <w:pPr>
        <w:pStyle w:val="Heading1"/>
        <w:spacing w:after="200" w:before="400"/>
      </w:pPr>
      <w:r>
        <w:t xml:space="preserve">10. Marketing &amp; Brand Strategy</w:t>
      </w:r>
    </w:p>
    <w:p>
      <w:pPr>
        <w:spacing w:after="160" w:line="276"/>
      </w:pPr>
      <w:r>
        <w:rPr>
          <w:b/>
          <w:bCs/>
          <w:sz w:val="22"/>
          <w:szCs w:val="22"/>
        </w:rPr>
        <w:t xml:space="preserve">Positioning: </w:t>
      </w:r>
      <w:r>
        <w:rPr>
          <w:sz w:val="22"/>
          <w:szCs w:val="22"/>
        </w:rPr>
        <w:t xml:space="preserve">GajiPay is the back office that also looks after your people — not just another payroll vendor, and not just another salary-advance app.</w:t>
      </w:r>
    </w:p>
    <w:p>
      <w:pPr>
        <w:spacing w:after="160" w:line="276"/>
      </w:pPr>
      <w:r>
        <w:rPr>
          <w:b/>
          <w:bCs/>
          <w:sz w:val="22"/>
          <w:szCs w:val="22"/>
        </w:rPr>
        <w:t xml:space="preserve">Employer-facing message: </w:t>
      </w:r>
      <w:r>
        <w:rPr>
          <w:sz w:val="22"/>
          <w:szCs w:val="22"/>
        </w:rPr>
        <w:t xml:space="preserve">“One partner for compliance and people — company secretary, payroll, HR, and financial wellness, without the enterprise price tag or the fragmented vendor list.”</w:t>
      </w:r>
    </w:p>
    <w:p>
      <w:pPr>
        <w:spacing w:after="160" w:line="276"/>
      </w:pPr>
      <w:r>
        <w:rPr>
          <w:b/>
          <w:bCs/>
          <w:sz w:val="22"/>
          <w:szCs w:val="22"/>
        </w:rPr>
        <w:t xml:space="preserve">Employee-facing message: </w:t>
      </w:r>
      <w:r>
        <w:rPr>
          <w:sz w:val="22"/>
          <w:szCs w:val="22"/>
        </w:rPr>
        <w:t xml:space="preserve">“Your money, when you need it — access wages you've already earned, transparently, with no interest and no debt.”</w:t>
      </w:r>
    </w:p>
    <w:p>
      <w:pPr>
        <w:spacing w:after="160" w:line="276"/>
      </w:pPr>
      <w:r>
        <w:rPr>
          <w:b/>
          <w:bCs/>
          <w:sz w:val="22"/>
          <w:szCs w:val="22"/>
        </w:rPr>
        <w:t xml:space="preserve">Content strategy: </w:t>
      </w:r>
      <w:r>
        <w:rPr>
          <w:sz w:val="22"/>
          <w:szCs w:val="22"/>
        </w:rPr>
        <w:t xml:space="preserve">SME compliance guides (incorporation checklists, EPF/SOCSO/EIS explainers, annual return deadlines), employer case studies quantifying turnover reduction from Advance Pay (industry benchmarks cited by competitors range 16–25%), and a free payroll/EPF/SOCSO calculator tool as an SEO and lead-gen asset.</w:t>
      </w:r>
    </w:p>
    <w:p>
      <w:pPr>
        <w:spacing w:after="160" w:line="276"/>
      </w:pPr>
      <w:r>
        <w:rPr>
          <w:b/>
          <w:bCs/>
          <w:sz w:val="22"/>
          <w:szCs w:val="22"/>
        </w:rPr>
        <w:t xml:space="preserve">Trust-building assets: </w:t>
      </w:r>
      <w:r>
        <w:rPr>
          <w:sz w:val="22"/>
          <w:szCs w:val="22"/>
        </w:rPr>
        <w:t xml:space="preserve">transparent fee disclosure (flat fee, no interest — mirrored prominently against payday-loan alternatives), a published legal/compliance explainer on the Moneylenders Act exemption, and visible partner branding once a bank/EMI partnership is secured.</w:t>
      </w:r>
    </w:p>
    <w:p>
      <w:pPr>
        <w:spacing w:after="160" w:line="276"/>
      </w:pPr>
      <w:r>
        <w:rPr>
          <w:sz w:val="22"/>
          <w:szCs w:val="22"/>
        </w:rPr>
        <w:t xml:space="preserve">Website and full brand identity (logo, visual system) are explicitly out of scope for this document and will follow as Task 2 once this strategy is approved.</w:t>
      </w:r>
    </w:p>
    <w:p>
      <w:pPr>
        <w:pStyle w:val="Heading1"/>
        <w:spacing w:after="200" w:before="400"/>
      </w:pPr>
      <w:r>
        <w:t xml:space="preserve">11. Operations &amp; Technology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Core platform: unified employer dashboard (payroll, HR, CoSec case management) and employee mobile/web app (payslips, leave, Advance Pay).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Payroll engine: must natively support EPF, SOCSO, EIS, PCB/MTD, and EA form generation, with an audit trail suitable for statutory inspection.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Advance Pay ledger: real-time earned-wage calculation engine, hard-capped against s.22 Employment Act limits, reconciled daily against payroll run data.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Integration layer: APIs for the bank/EMI disbursement partner, and import/export tooling so early clients on competitor payroll systems can be migrated without a hard cutover.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Security &amp; compliance: PDPA-aligned data governance from day one; target ISO 27001 alignment once transaction volume justifies the cost.</w:t>
      </w:r>
    </w:p>
    <w:p>
      <w:pPr>
        <w:pStyle w:val="Heading1"/>
        <w:spacing w:after="200" w:before="400"/>
      </w:pPr>
      <w:r>
        <w:t xml:space="preserve">12. Risk Analysis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300"/>
      </w:tblGrid>
      <w:tr>
        <w:trPr>
          <w:tblHeader/>
        </w:trPr>
        <w:tc>
          <w:tcPr>
            <w:tcW w:type="dxa" w:w="420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530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4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Regulatory reclassification of EWA as lending</w:t>
            </w:r>
          </w:p>
        </w:tc>
        <w:tc>
          <w:tcPr>
            <w:tcW w:type="dxa" w:w="5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Formal legal opinion pre-launch; conservative fee structure (flat fee, no interest); proactive regulator engagement; partner-bank disbursement model</w:t>
            </w:r>
          </w:p>
        </w:tc>
      </w:tr>
      <w:tr>
        <w:tc>
          <w:tcPr>
            <w:tcW w:type="dxa" w:w="4200"/>
            <w:shd w:fill="F2EFE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Employer fails to fund/reconcile advances at payroll run</w:t>
            </w:r>
          </w:p>
        </w:tc>
        <w:tc>
          <w:tcPr>
            <w:tcW w:type="dxa" w:w="5300"/>
            <w:shd w:fill="F2EFE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Contractual reconciliation terms; disbursement via partner bank with employer-funded settlement account, not GajiPay balance sheet</w:t>
            </w:r>
          </w:p>
        </w:tc>
      </w:tr>
      <w:tr>
        <w:tc>
          <w:tcPr>
            <w:tcW w:type="dxa" w:w="4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Low differentiation if bundling doesn't convert to cross-sell</w:t>
            </w:r>
          </w:p>
        </w:tc>
        <w:tc>
          <w:tcPr>
            <w:tcW w:type="dxa" w:w="5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Sequence GTM to prove the CoSec→Payroll→HR→EWA flywheel with a pilot cohort before scaling spend</w:t>
            </w:r>
          </w:p>
        </w:tc>
      </w:tr>
      <w:tr>
        <w:tc>
          <w:tcPr>
            <w:tcW w:type="dxa" w:w="4200"/>
            <w:shd w:fill="F2EFE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Incumbent distribution advantage (Digi/AmBank-backed rivals)</w:t>
            </w:r>
          </w:p>
        </w:tc>
        <w:tc>
          <w:tcPr>
            <w:tcW w:type="dxa" w:w="5300"/>
            <w:shd w:fill="F2EFE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Pursue GajiPay's own bank/association partnership within 12–18 months; compete on SME-segment service quality and bundle economics</w:t>
            </w:r>
          </w:p>
        </w:tc>
      </w:tr>
      <w:tr>
        <w:tc>
          <w:tcPr>
            <w:tcW w:type="dxa" w:w="4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Data breach of payroll/salary data</w:t>
            </w:r>
          </w:p>
        </w:tc>
        <w:tc>
          <w:tcPr>
            <w:tcW w:type="dxa" w:w="5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PDPA-by-design architecture, encryption, access controls, incident response plan</w:t>
            </w:r>
          </w:p>
        </w:tc>
      </w:tr>
      <w:tr>
        <w:tc>
          <w:tcPr>
            <w:tcW w:type="dxa" w:w="4200"/>
            <w:shd w:fill="F2EFE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Working capital / cash-flow strain from disbursement float</w:t>
            </w:r>
          </w:p>
        </w:tc>
        <w:tc>
          <w:tcPr>
            <w:tcW w:type="dxa" w:w="5300"/>
            <w:shd w:fill="F2EFE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Structure disbursement through partner bank/EMI, not GajiPay capital, from day one</w:t>
            </w:r>
          </w:p>
        </w:tc>
      </w:tr>
    </w:tbl>
    <w:p>
      <w:pPr>
        <w:pStyle w:val="Heading1"/>
        <w:spacing w:after="200" w:before="400"/>
      </w:pPr>
      <w:r>
        <w:t xml:space="preserve">13. Phased Roadmap</w:t>
      </w:r>
    </w:p>
    <w:p>
      <w:pPr>
        <w:pStyle w:val="Heading2"/>
        <w:spacing w:after="150" w:before="300"/>
      </w:pPr>
      <w:r>
        <w:t xml:space="preserve">Phase 0 — Foundation (Months 0–3)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Finalize legal opinion on Advance Pay structuring; select and formalize partner bank/EMI for disbursement.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Build MVP: Payroll engine + CoSec case management + HR Portal core.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Pilot with 5–10 friendly SME clients across target sectors.</w:t>
      </w:r>
    </w:p>
    <w:p>
      <w:pPr>
        <w:pStyle w:val="Heading2"/>
        <w:spacing w:after="150" w:before="300"/>
      </w:pPr>
      <w:r>
        <w:t xml:space="preserve">Phase 1 — Launch (Months 3–9)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Public launch of Payroll + CoSec + HR Portal bundle.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Launch Advance Pay to pilot cohort's employees; validate fee model, cap %, and reconciliation process.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Stand up Audit &amp; Accounting referral partnerships.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Website and brand identity (Task 2) begins here, once this strategy and the Phase 0 pilot validate positioning.</w:t>
      </w:r>
    </w:p>
    <w:p>
      <w:pPr>
        <w:pStyle w:val="Heading2"/>
        <w:spacing w:after="150" w:before="300"/>
      </w:pPr>
      <w:r>
        <w:t xml:space="preserve">Phase 2 — Scale (Months 9–18)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Expand direct sales and channel partnerships (accounting firms, SME associations).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Pursue first bank/telco distribution partnership.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Expand Advance Pay to full client base; publish turnover-reduction case studies.</w:t>
      </w:r>
    </w:p>
    <w:p>
      <w:pPr>
        <w:pStyle w:val="Heading2"/>
        <w:spacing w:after="150" w:before="300"/>
      </w:pPr>
      <w:r>
        <w:t xml:space="preserve">Phase 3 — Extend (Months 18+)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Evaluate micro-enterprise self-serve tier and larger-corporate direct sales motion.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Evaluate regional expansion (Southeast Asia) once Malaysia playbook is proven, following the pattern set by Paywatch, Payd, and GajiGesa.</w:t>
      </w:r>
    </w:p>
    <w:p>
      <w:pPr>
        <w:pStyle w:val="Heading1"/>
        <w:spacing w:after="200" w:before="400"/>
      </w:pPr>
      <w:r>
        <w:t xml:space="preserve">14. Success Metrics (KPIs)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Compliance base: # of active CoSec clients; # of active Payroll clients; net retention rate.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Cross-sell conversion: % of CoSec/Payroll clients activating HR Portal within 90 days; % activating Advance Pay within 6 months.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Advance Pay engagement: % of eligible employees who activate; average withdrawals per active user per month; take-rate on flat fees.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Employer outcomes: measured turnover reduction among Advance Pay clients versus non-Advance-Pay clients (target: cite comparable 15–25% reduction benchmarks once GajiPay has its own cohort data).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Referral revenue: # of Audit &amp; Accounting referrals converted; referral revenue as % of total revenue.</w:t>
      </w:r>
    </w:p>
    <w:p>
      <w:pPr>
        <w:pStyle w:val="Heading1"/>
        <w:spacing w:after="200" w:before="400"/>
      </w:pPr>
      <w:r>
        <w:t xml:space="preserve">15. Conclusion &amp; Next Steps</w:t>
      </w:r>
    </w:p>
    <w:p>
      <w:pPr>
        <w:spacing w:after="160" w:line="276"/>
      </w:pPr>
      <w:r>
        <w:rPr>
          <w:sz w:val="22"/>
          <w:szCs w:val="22"/>
        </w:rPr>
        <w:t xml:space="preserve">GajiPay's opportunity is not to out-compete any single incumbent at their own game — it is to be the first platform to seriously bundle Malaysia's mandatory SME compliance stack (Company Secretary, Payroll) with the fastest-growing employee financial wellness product in the region (Advance Pay/EWA), with Audit &amp; Accounting referral as a natural extension. The legal path to Advance Pay without a moneylending license is well-precedented by HariGaji and Paywatch and further legitimized by the AmBank-backed Pay Day Now launch — GajiPay's job is to execute that structure carefully, lead with compliance trust, and let the cross-sell flywheel do the work of converting a mandatory back-office relationship into a daily-engagement fintech relationship.</w:t>
      </w:r>
    </w:p>
    <w:p>
      <w:pPr>
        <w:pStyle w:val="Heading3"/>
        <w:spacing w:after="100" w:before="200"/>
      </w:pPr>
      <w:r>
        <w:t xml:space="preserve">Immediate next steps (pending your sign-off):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Commission the formal legal opinion on Advance Pay structuring (Section 8).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Identify and approach candidate bank/EMI disbursement partners.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Select the Phase 0 pilot cohort (5–10 SMEs across the target sectors in Section 6).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Approve this strategy so Task 2 (website) and Task 3 (logo/brand identity) can proceed.</w:t>
      </w:r>
    </w:p>
    <w:p>
      <w:pPr>
        <w:pBdr>
          <w:bottom w:val="single" w:color="CCCCCC" w:sz="6"/>
        </w:pBdr>
        <w:spacing w:after="200" w:before="200"/>
      </w:pPr>
    </w:p>
    <w:p>
      <w:pPr>
        <w:pStyle w:val="Heading3"/>
        <w:spacing w:after="100" w:before="200"/>
      </w:pPr>
      <w:r>
        <w:t xml:space="preserve">Sources referenced in market/competitive research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AmBank, Ramssol launch Pay Day Now platform for earned wage access — The Star (thestar.com.my)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Earned wage access provider Payd bags $400k to expand in Malaysia and Thailand — fintech.global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What is Earned Wage Access? — altHR Blog (althr.my)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HariGaji and Digi's altHR team up — altHR Announcements (althr.my)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Paywatch: Championing Fair Financial Access in Southeast Asia — MIDA (mida.gov.my)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Paywatch — How Flexible Payroll Works (paywatch.com.my)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Paywatch bags RM141mil to grow earned wage access solution — Vulcan Post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Kredivo Group acquires GajiGesa — Kredivo Corp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Salary Advance: What Malaysian Employers Need To Know — Synergy Outsourcing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Financial Assistance for Employees: Legal Insights for Malaysian Employers — nurmaidin.com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Department of Statistics Malaysia — MSME Performance 2024 (dosm.gov.my)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Employment Hero Pricing Tiers &amp; Costs — People Managing People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Company Secretary Fees in Malaysia (2026 Pricing Guide) — Consistant (consistantinfo.com.my)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How to Appoint A Company Secretary in Malaysia — Acclime (malaysia.acclime.com)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5B5B"/>
        <w:sz w:val="16"/>
        <w:szCs w:val="16"/>
      </w:rPr>
      <w:t xml:space="preserve">Confidential — Page </w:t>
    </w:r>
    <w:r>
      <w:rPr>
        <w:color w:val="5B5B5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5B5B"/>
        <w:sz w:val="16"/>
        <w:szCs w:val="16"/>
      </w:rPr>
      <w:t xml:space="preserve"> of </w:t>
    </w:r>
    <w:r>
      <w:rPr>
        <w:color w:val="5B5B5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B5B5B"/>
        <w:sz w:val="16"/>
        <w:szCs w:val="16"/>
      </w:rPr>
      <w:t xml:space="preserve">GajiPay Sdn Bhd — Business Strategy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B08D57" w:sz="8" w:space="4"/>
      </w:pBdr>
      <w:spacing w:after="200" w:before="400"/>
      <w:outlineLvl w:val="0"/>
    </w:pPr>
    <w:rPr>
      <w:rFonts w:ascii="Calibri" w:cs="Calibri" w:eastAsia="Calibri" w:hAnsi="Calibri"/>
      <w:b/>
      <w:bCs/>
      <w:color w:val="1F2A4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Calibri" w:cs="Calibri" w:eastAsia="Calibri" w:hAnsi="Calibri"/>
      <w:b/>
      <w:bCs/>
      <w:color w:val="1F2A4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B08D57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2026-07-21T04:55:35.823Z</dcterms:created>
  <dcterms:modified xsi:type="dcterms:W3CDTF">2026-07-21T04:55:35.824Z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