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aps/>
          <w:color w:val="B18A3E"/>
          <w:sz w:val="20"/>
        </w:rPr>
        <w:t>STRICTLY PRIVATE &amp; CONFIDENTIAL</w:t>
      </w:r>
    </w:p>
    <w:p>
      <w:pPr>
        <w:jc w:val="center"/>
        <w:pBdr>
          <w:bottom w:val="single" w:sz="18" w:space="1" w:color="B18A3E"/>
        </w:pBdr>
      </w:pPr>
    </w:p>
    <w:p/>
    <w:p/>
    <w:p>
      <w:pPr>
        <w:jc w:val="center"/>
      </w:pPr>
      <w:r>
        <w:rPr>
          <w:rFonts w:ascii="Calibri" w:hAnsi="Calibri"/>
          <w:b/>
          <w:i w:val="0"/>
          <w:color w:val="0E2A47"/>
          <w:sz w:val="60"/>
        </w:rPr>
        <w:t>SHARE TRANSFER AGREEMENT</w:t>
      </w:r>
    </w:p>
    <w:p>
      <w:pPr>
        <w:spacing w:after="40"/>
        <w:jc w:val="center"/>
      </w:pPr>
      <w:r>
        <w:rPr>
          <w:rFonts w:ascii="Calibri" w:hAnsi="Calibri"/>
          <w:b w:val="0"/>
          <w:i/>
          <w:color w:val="B18A3E"/>
          <w:sz w:val="28"/>
        </w:rPr>
        <w:t>Conditional &amp; Performance-Based</w:t>
      </w:r>
    </w:p>
    <w:p>
      <w:pPr>
        <w:jc w:val="center"/>
      </w:pPr>
      <w:r>
        <w:rPr>
          <w:rFonts w:ascii="Calibri" w:hAnsi="Calibri"/>
          <w:b w:val="0"/>
          <w:i w:val="0"/>
          <w:color w:val="555555"/>
          <w:sz w:val="22"/>
        </w:rPr>
        <w:t>in respect of 21% of the issued share capital of</w:t>
      </w:r>
    </w:p>
    <w:p>
      <w:pPr>
        <w:jc w:val="center"/>
      </w:pPr>
      <w:r>
        <w:rPr>
          <w:rFonts w:ascii="Calibri" w:hAnsi="Calibri"/>
          <w:b/>
          <w:i w:val="0"/>
          <w:color w:val="0E2A47"/>
          <w:sz w:val="30"/>
        </w:rPr>
        <w:t>ORIZURU HOLIDAY HOMES LLC</w:t>
      </w:r>
    </w:p>
    <w:p/>
    <w:p>
      <w:pPr>
        <w:jc w:val="center"/>
        <w:pBdr>
          <w:bottom w:val="single" w:sz="6" w:space="1" w:color="0E2A47"/>
        </w:pBdr>
      </w:pPr>
    </w:p>
    <w:p/>
    <w:p>
      <w:pPr>
        <w:jc w:val="center"/>
      </w:pPr>
      <w:r>
        <w:rPr>
          <w:rFonts w:ascii="Calibri" w:hAnsi="Calibri"/>
          <w:b/>
          <w:i w:val="0"/>
          <w:color w:val="B18A3E"/>
          <w:sz w:val="22"/>
        </w:rPr>
        <w:t>BETWEEN</w:t>
      </w:r>
    </w:p>
    <w:p>
      <w:pPr>
        <w:spacing w:after="0"/>
        <w:jc w:val="center"/>
      </w:pPr>
      <w:r>
        <w:rPr>
          <w:rFonts w:ascii="Calibri" w:hAnsi="Calibri"/>
          <w:b/>
          <w:i w:val="0"/>
          <w:color w:val="0E2A47"/>
          <w:sz w:val="25"/>
        </w:rPr>
        <w:t>PODOCARPUS REAL ESTATE LLC</w:t>
      </w:r>
    </w:p>
    <w:p>
      <w:pPr>
        <w:jc w:val="center"/>
      </w:pPr>
      <w:r>
        <w:rPr>
          <w:rFonts w:ascii="Georgia" w:hAnsi="Georgia"/>
          <w:b w:val="0"/>
          <w:i/>
          <w:color w:val="555555"/>
          <w:sz w:val="20"/>
        </w:rPr>
        <w:t>(the Transferor)</w:t>
      </w:r>
    </w:p>
    <w:p>
      <w:pPr>
        <w:jc w:val="center"/>
      </w:pPr>
      <w:r>
        <w:rPr>
          <w:rFonts w:ascii="Calibri" w:hAnsi="Calibri"/>
          <w:b/>
          <w:i w:val="0"/>
          <w:color w:val="B18A3E"/>
          <w:sz w:val="22"/>
        </w:rPr>
        <w:t>AND</w:t>
      </w:r>
    </w:p>
    <w:p>
      <w:pPr>
        <w:spacing w:after="0"/>
        <w:jc w:val="center"/>
      </w:pPr>
      <w:r>
        <w:rPr>
          <w:rFonts w:ascii="Calibri" w:hAnsi="Calibri"/>
          <w:b/>
          <w:i w:val="0"/>
          <w:color w:val="0E2A47"/>
          <w:sz w:val="25"/>
        </w:rPr>
        <w:t>ORIZURU HOLIDAY HOMES LLC</w:t>
      </w:r>
    </w:p>
    <w:p>
      <w:pPr>
        <w:jc w:val="center"/>
      </w:pPr>
      <w:r>
        <w:rPr>
          <w:rFonts w:ascii="Georgia" w:hAnsi="Georgia"/>
          <w:b w:val="0"/>
          <w:i/>
          <w:color w:val="555555"/>
          <w:sz w:val="20"/>
        </w:rPr>
        <w:t>(the Company)</w:t>
      </w:r>
    </w:p>
    <w:p>
      <w:pPr>
        <w:jc w:val="center"/>
      </w:pPr>
      <w:r>
        <w:rPr>
          <w:rFonts w:ascii="Calibri" w:hAnsi="Calibri"/>
          <w:b/>
          <w:i w:val="0"/>
          <w:color w:val="B18A3E"/>
          <w:sz w:val="20"/>
        </w:rPr>
        <w:t>JOINED BY</w:t>
      </w:r>
    </w:p>
    <w:p>
      <w:pPr>
        <w:spacing w:after="0"/>
        <w:jc w:val="center"/>
      </w:pPr>
      <w:r>
        <w:rPr>
          <w:rFonts w:ascii="Calibri" w:hAnsi="Calibri"/>
          <w:b/>
          <w:i w:val="0"/>
          <w:color w:val="0E2A47"/>
          <w:sz w:val="22"/>
        </w:rPr>
        <w:t>MR. YSLAM ATAYEV   &amp;   MR. ORAZDURDY MAMIYEV</w:t>
      </w:r>
    </w:p>
    <w:p>
      <w:pPr>
        <w:jc w:val="center"/>
      </w:pPr>
      <w:r>
        <w:rPr>
          <w:rFonts w:ascii="Georgia" w:hAnsi="Georgia"/>
          <w:b w:val="0"/>
          <w:i/>
          <w:color w:val="555555"/>
          <w:sz w:val="20"/>
        </w:rPr>
        <w:t>(together, the Transferees)</w:t>
      </w:r>
    </w:p>
    <w:p/>
    <w:p/>
    <w:p>
      <w:pPr>
        <w:jc w:val="center"/>
        <w:pBdr>
          <w:bottom w:val="single" w:sz="18" w:space="1" w:color="B18A3E"/>
        </w:pBdr>
      </w:pPr>
    </w:p>
    <w:p>
      <w:pPr>
        <w:jc w:val="center"/>
      </w:pPr>
      <w:r>
        <w:rPr>
          <w:rFonts w:ascii="Calibri" w:hAnsi="Calibri"/>
          <w:b/>
          <w:i w:val="0"/>
          <w:color w:val="0E2A47"/>
          <w:sz w:val="22"/>
        </w:rPr>
        <w:t>Dated: ____ / ____ / 20____</w:t>
      </w:r>
    </w:p>
    <w:p>
      <w:pPr>
        <w:jc w:val="center"/>
      </w:pPr>
      <w:r>
        <w:rPr>
          <w:rFonts w:ascii="Georgia" w:hAnsi="Georgia"/>
          <w:b w:val="0"/>
          <w:i/>
          <w:color w:val="555555"/>
          <w:sz w:val="19"/>
        </w:rPr>
        <w:t>Governed by the laws of the United Arab Emirates as applied in the Emirate of Dubai</w:t>
      </w:r>
    </w:p>
    <w:p>
      <w:r>
        <w:br w:type="page"/>
      </w:r>
    </w:p>
    <w:tbl>
      <w:tblPr>
        <w:tblW w:type="auto" w:w="0"/>
        <w:jc w:val="center"/>
        <w:tblLook w:firstColumn="1" w:firstRow="1" w:lastColumn="0" w:lastRow="0" w:noHBand="0" w:noVBand="1" w:val="04A0"/>
      </w:tblPr>
      <w:tblGrid>
        <w:gridCol w:w="9216"/>
      </w:tblGrid>
      <w:tr>
        <w:tc>
          <w:tcPr>
            <w:tcW w:type="dxa" w:w="9216"/>
            <w:shd w:val="clear" w:color="auto" w:fill="F3EDDE"/>
            <w:tcBorders>
              <w:top w:val="single" w:sz="10" w:space="0" w:color="B18A3E"/>
              <w:left w:val="single" w:sz="10" w:space="0" w:color="B18A3E"/>
              <w:bottom w:val="single" w:sz="10" w:space="0" w:color="B18A3E"/>
              <w:right w:val="single" w:sz="10" w:space="0" w:color="B18A3E"/>
            </w:tcBorders>
          </w:tcPr>
          <w:p>
            <w:pPr>
              <w:spacing w:before="0" w:after="0"/>
            </w:pPr>
            <w:r/>
            <w:r>
              <w:rPr>
                <w:rFonts w:ascii="Calibri" w:hAnsi="Calibri"/>
                <w:b/>
                <w:i w:val="0"/>
                <w:caps/>
                <w:color w:val="0E2A47"/>
                <w:sz w:val="20"/>
              </w:rPr>
              <w:t>Important Legal Notice</w:t>
            </w:r>
          </w:p>
          <w:p>
            <w:pPr>
              <w:spacing w:before="80" w:after="0"/>
              <w:jc w:val="both"/>
            </w:pPr>
            <w:r>
              <w:rPr>
                <w:rFonts w:ascii="Georgia" w:hAnsi="Georgia"/>
                <w:b w:val="0"/>
                <w:i w:val="0"/>
                <w:color w:val="555555"/>
                <w:sz w:val="18"/>
              </w:rPr>
              <w:t xml:space="preserve">This document is a template share transfer agreement prepared for the parties named above. It is drafted to reflect the principles of </w:t>
            </w:r>
            <w:r>
              <w:rPr>
                <w:rFonts w:ascii="Georgia" w:hAnsi="Georgia"/>
                <w:b/>
                <w:i w:val="0"/>
                <w:color w:val="555555"/>
                <w:sz w:val="18"/>
              </w:rPr>
              <w:t>UAE Federal Decree-Law No. (32) of 2021 on Commercial Companies</w:t>
            </w:r>
            <w:r>
              <w:rPr>
                <w:rFonts w:ascii="Georgia" w:hAnsi="Georgia"/>
                <w:b w:val="0"/>
                <w:i w:val="0"/>
                <w:color w:val="555555"/>
                <w:sz w:val="18"/>
              </w:rPr>
              <w:t xml:space="preserve"> and the practice of the </w:t>
            </w:r>
            <w:r>
              <w:rPr>
                <w:rFonts w:ascii="Georgia" w:hAnsi="Georgia"/>
                <w:b/>
                <w:i w:val="0"/>
                <w:color w:val="555555"/>
                <w:sz w:val="18"/>
              </w:rPr>
              <w:t>Department of Economy and Tourism (Dubai)</w:t>
            </w:r>
            <w:r>
              <w:rPr>
                <w:rFonts w:ascii="Georgia" w:hAnsi="Georgia"/>
                <w:b w:val="0"/>
                <w:i w:val="0"/>
                <w:color w:val="555555"/>
                <w:sz w:val="18"/>
              </w:rPr>
              <w:t xml:space="preserve">. It is </w:t>
            </w:r>
            <w:r>
              <w:rPr>
                <w:rFonts w:ascii="Georgia" w:hAnsi="Georgia"/>
                <w:b/>
                <w:i w:val="0"/>
                <w:color w:val="555555"/>
                <w:sz w:val="18"/>
              </w:rPr>
              <w:t>not</w:t>
            </w:r>
            <w:r>
              <w:rPr>
                <w:rFonts w:ascii="Georgia" w:hAnsi="Georgia"/>
                <w:b w:val="0"/>
                <w:i w:val="0"/>
                <w:color w:val="555555"/>
                <w:sz w:val="18"/>
              </w:rPr>
              <w:t xml:space="preserve"> a substitute for independent legal advice.</w:t>
            </w:r>
          </w:p>
          <w:p>
            <w:pPr>
              <w:spacing w:before="80" w:after="0"/>
              <w:jc w:val="both"/>
            </w:pPr>
            <w:r>
              <w:rPr>
                <w:rFonts w:ascii="Georgia" w:hAnsi="Georgia"/>
                <w:b w:val="0"/>
                <w:i w:val="0"/>
                <w:color w:val="555555"/>
                <w:sz w:val="18"/>
              </w:rPr>
              <w:t xml:space="preserve">A transfer of shares (an interest / quota) in a Dubai mainland Limited Liability Company is only fully effective once it is </w:t>
            </w:r>
            <w:r>
              <w:rPr>
                <w:rFonts w:ascii="Georgia" w:hAnsi="Georgia"/>
                <w:b/>
                <w:i w:val="0"/>
                <w:color w:val="555555"/>
                <w:sz w:val="18"/>
              </w:rPr>
              <w:t>notarised before a Notary Public in Dubai</w:t>
            </w:r>
            <w:r>
              <w:rPr>
                <w:rFonts w:ascii="Georgia" w:hAnsi="Georgia"/>
                <w:b w:val="0"/>
                <w:i w:val="0"/>
                <w:color w:val="555555"/>
                <w:sz w:val="18"/>
              </w:rPr>
              <w:t xml:space="preserve">, the </w:t>
            </w:r>
            <w:r>
              <w:rPr>
                <w:rFonts w:ascii="Georgia" w:hAnsi="Georgia"/>
                <w:b/>
                <w:i w:val="0"/>
                <w:color w:val="555555"/>
                <w:sz w:val="18"/>
              </w:rPr>
              <w:t>Memorandum of Association (MOA) is amended</w:t>
            </w:r>
            <w:r>
              <w:rPr>
                <w:rFonts w:ascii="Georgia" w:hAnsi="Georgia"/>
                <w:b w:val="0"/>
                <w:i w:val="0"/>
                <w:color w:val="555555"/>
                <w:sz w:val="18"/>
              </w:rPr>
              <w:t xml:space="preserve">, and the change is </w:t>
            </w:r>
            <w:r>
              <w:rPr>
                <w:rFonts w:ascii="Georgia" w:hAnsi="Georgia"/>
                <w:b/>
                <w:i w:val="0"/>
                <w:color w:val="555555"/>
                <w:sz w:val="18"/>
              </w:rPr>
              <w:t>registered with the Department of Economy and Tourism</w:t>
            </w:r>
            <w:r>
              <w:rPr>
                <w:rFonts w:ascii="Georgia" w:hAnsi="Georgia"/>
                <w:b w:val="0"/>
                <w:i w:val="0"/>
                <w:color w:val="555555"/>
                <w:sz w:val="18"/>
              </w:rPr>
              <w:t>. The parties should engage a UAE-licensed legal practitioner to review, finalise, prepare the Arabic notarised addendum and complete registration before execution.</w:t>
            </w:r>
          </w:p>
          <w:p>
            <w:pPr>
              <w:spacing w:before="80" w:after="0"/>
              <w:jc w:val="both"/>
            </w:pPr>
            <w:r>
              <w:rPr>
                <w:rFonts w:ascii="Georgia" w:hAnsi="Georgia"/>
                <w:b w:val="0"/>
                <w:i w:val="0"/>
                <w:color w:val="555555"/>
                <w:sz w:val="18"/>
              </w:rPr>
              <w:t xml:space="preserve">Fields shown as </w:t>
            </w:r>
            <w:r>
              <w:rPr>
                <w:rFonts w:ascii="Georgia" w:hAnsi="Georgia"/>
                <w:b/>
                <w:i w:val="0"/>
                <w:color w:val="555555"/>
                <w:sz w:val="18"/>
              </w:rPr>
              <w:t>[ ● ]</w:t>
            </w:r>
            <w:r>
              <w:rPr>
                <w:rFonts w:ascii="Georgia" w:hAnsi="Georgia"/>
                <w:b w:val="0"/>
                <w:i w:val="0"/>
                <w:color w:val="555555"/>
                <w:sz w:val="18"/>
              </w:rPr>
              <w:t xml:space="preserve"> or blank lines are to be completed by the parties. A consolidated list of items to complete appears at </w:t>
            </w:r>
            <w:r>
              <w:rPr>
                <w:rFonts w:ascii="Georgia" w:hAnsi="Georgia"/>
                <w:b/>
                <w:i w:val="0"/>
                <w:color w:val="555555"/>
                <w:sz w:val="18"/>
              </w:rPr>
              <w:t>Schedule 5</w:t>
            </w:r>
            <w:r>
              <w:rPr>
                <w:rFonts w:ascii="Georgia" w:hAnsi="Georgia"/>
                <w:b w:val="0"/>
                <w:i w:val="0"/>
                <w:color w:val="555555"/>
                <w:sz w:val="18"/>
              </w:rPr>
              <w:t>.</w:t>
            </w:r>
          </w:p>
          <w:p>
            <w:pPr>
              <w:spacing w:before="0" w:after="0"/>
            </w:pPr>
            <w:r>
              <w:rPr>
                <w:rFonts w:ascii="Georgia" w:hAnsi="Georgia"/>
                <w:b w:val="0"/>
                <w:i w:val="0"/>
                <w:color w:val="1A1A1A"/>
                <w:sz w:val="6"/>
              </w:rPr>
            </w:r>
          </w:p>
        </w:tc>
      </w:tr>
    </w:tbl>
    <w:p/>
    <w:p>
      <w:pPr>
        <w:jc w:val="center"/>
      </w:pPr>
      <w:r>
        <w:rPr>
          <w:rFonts w:ascii="Calibri" w:hAnsi="Calibri"/>
          <w:b/>
          <w:i w:val="0"/>
          <w:color w:val="0E2A47"/>
          <w:sz w:val="32"/>
        </w:rPr>
        <w:t>SHARE TRANSFER AGREEMENT</w:t>
      </w:r>
    </w:p>
    <w:p>
      <w:pPr>
        <w:spacing w:after="200"/>
        <w:jc w:val="center"/>
      </w:pPr>
      <w:r>
        <w:rPr>
          <w:rFonts w:ascii="Georgia" w:hAnsi="Georgia"/>
          <w:b w:val="0"/>
          <w:i/>
          <w:color w:val="B18A3E"/>
          <w:sz w:val="22"/>
        </w:rPr>
        <w:t>(Conditional &amp; Performance-Based)</w:t>
      </w:r>
    </w:p>
    <w:p>
      <w:pPr>
        <w:spacing w:after="200"/>
        <w:jc w:val="both"/>
      </w:pPr>
      <w:r>
        <w:rPr>
          <w:rFonts w:ascii="Georgia" w:hAnsi="Georgia"/>
          <w:b w:val="0"/>
          <w:i w:val="0"/>
          <w:color w:val="1A1A1A"/>
          <w:sz w:val="21"/>
        </w:rPr>
        <w:t>This Share Transfer Agreement (this “</w:t>
      </w:r>
      <w:r>
        <w:rPr>
          <w:rFonts w:ascii="Georgia" w:hAnsi="Georgia"/>
          <w:b/>
          <w:i w:val="0"/>
          <w:color w:val="1A1A1A"/>
          <w:sz w:val="21"/>
        </w:rPr>
        <w:t>Agreement</w:t>
      </w:r>
      <w:r>
        <w:rPr>
          <w:rFonts w:ascii="Georgia" w:hAnsi="Georgia"/>
          <w:b w:val="0"/>
          <w:i w:val="0"/>
          <w:color w:val="1A1A1A"/>
          <w:sz w:val="21"/>
        </w:rPr>
        <w:t>”) is made on this ______ day of ____________________ 20____ (the “</w:t>
      </w:r>
      <w:r>
        <w:rPr>
          <w:rFonts w:ascii="Georgia" w:hAnsi="Georgia"/>
          <w:b/>
          <w:i w:val="0"/>
          <w:color w:val="1A1A1A"/>
          <w:sz w:val="21"/>
        </w:rPr>
        <w:t>Effective Date</w:t>
      </w:r>
      <w:r>
        <w:rPr>
          <w:rFonts w:ascii="Georgia" w:hAnsi="Georgia"/>
          <w:b w:val="0"/>
          <w:i w:val="0"/>
          <w:color w:val="1A1A1A"/>
          <w:sz w:val="21"/>
        </w:rPr>
        <w:t>”).</w:t>
      </w:r>
    </w:p>
    <w:p>
      <w:pPr>
        <w:keepNext/>
        <w:spacing w:before="240" w:after="100"/>
        <w:pBdr>
          <w:bottom w:val="single" w:sz="8" w:space="3" w:color="B18A3E"/>
        </w:pBdr>
      </w:pPr>
      <w:r>
        <w:rPr>
          <w:rFonts w:ascii="Calibri" w:hAnsi="Calibri"/>
          <w:b/>
          <w:i w:val="0"/>
          <w:color w:val="0E2A47"/>
          <w:sz w:val="24"/>
        </w:rPr>
        <w:t>PARTIES</w:t>
      </w:r>
    </w:p>
    <w:p>
      <w:pPr>
        <w:spacing w:after="120"/>
        <w:ind w:left="792" w:hanging="792"/>
        <w:jc w:val="both"/>
      </w:pPr>
      <w:r>
        <w:rPr>
          <w:rFonts w:ascii="Georgia" w:hAnsi="Georgia"/>
          <w:b/>
          <w:i w:val="0"/>
          <w:color w:val="0E2A47"/>
          <w:sz w:val="21"/>
        </w:rPr>
        <w:t>(1)</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PODOCARPUS REAL ESTATE LLC</w:t>
      </w:r>
      <w:r>
        <w:rPr>
          <w:rFonts w:ascii="Georgia" w:hAnsi="Georgia"/>
          <w:b w:val="0"/>
          <w:i w:val="0"/>
          <w:color w:val="1A1A1A"/>
          <w:sz w:val="21"/>
        </w:rPr>
        <w:t>, a limited liability company incorporated and licensed in the Emirate of Dubai, United Arab Emirates under commercial licence no. [ ● ], having its registered office at [ ● ], Dubai, UAE (the “</w:t>
      </w:r>
      <w:r>
        <w:rPr>
          <w:rFonts w:ascii="Georgia" w:hAnsi="Georgia"/>
          <w:b/>
          <w:i w:val="0"/>
          <w:color w:val="1A1A1A"/>
          <w:sz w:val="21"/>
        </w:rPr>
        <w:t>Transferor</w:t>
      </w:r>
      <w:r>
        <w:rPr>
          <w:rFonts w:ascii="Georgia" w:hAnsi="Georgia"/>
          <w:b w:val="0"/>
          <w:i w:val="0"/>
          <w:color w:val="1A1A1A"/>
          <w:sz w:val="21"/>
        </w:rPr>
        <w:t>” or “</w:t>
      </w:r>
      <w:r>
        <w:rPr>
          <w:rFonts w:ascii="Georgia" w:hAnsi="Georgia"/>
          <w:b/>
          <w:i w:val="0"/>
          <w:color w:val="1A1A1A"/>
          <w:sz w:val="21"/>
        </w:rPr>
        <w:t>Podocarpus</w:t>
      </w:r>
      <w:r>
        <w:rPr>
          <w:rFonts w:ascii="Georgia" w:hAnsi="Georgia"/>
          <w:b w:val="0"/>
          <w:i w:val="0"/>
          <w:color w:val="1A1A1A"/>
          <w:sz w:val="21"/>
        </w:rPr>
        <w:t>”);</w:t>
      </w:r>
    </w:p>
    <w:p>
      <w:pPr>
        <w:spacing w:after="120"/>
        <w:ind w:left="792" w:hanging="792"/>
        <w:jc w:val="both"/>
      </w:pPr>
      <w:r>
        <w:rPr>
          <w:rFonts w:ascii="Georgia" w:hAnsi="Georgia"/>
          <w:b/>
          <w:i w:val="0"/>
          <w:color w:val="0E2A47"/>
          <w:sz w:val="21"/>
        </w:rPr>
        <w:t>(2)</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ORIZURU HOLIDAY HOMES LLC</w:t>
      </w:r>
      <w:r>
        <w:rPr>
          <w:rFonts w:ascii="Georgia" w:hAnsi="Georgia"/>
          <w:b w:val="0"/>
          <w:i w:val="0"/>
          <w:color w:val="1A1A1A"/>
          <w:sz w:val="21"/>
        </w:rPr>
        <w:t>, a limited liability company incorporated and licensed in the Emirate of Dubai, United Arab Emirates under commercial licence no. [ ● ], having its registered office at [ ● ], Dubai, UAE (the “</w:t>
      </w:r>
      <w:r>
        <w:rPr>
          <w:rFonts w:ascii="Georgia" w:hAnsi="Georgia"/>
          <w:b/>
          <w:i w:val="0"/>
          <w:color w:val="1A1A1A"/>
          <w:sz w:val="21"/>
        </w:rPr>
        <w:t>Company</w:t>
      </w:r>
      <w:r>
        <w:rPr>
          <w:rFonts w:ascii="Georgia" w:hAnsi="Georgia"/>
          <w:b w:val="0"/>
          <w:i w:val="0"/>
          <w:color w:val="1A1A1A"/>
          <w:sz w:val="21"/>
        </w:rPr>
        <w:t>”);</w:t>
      </w:r>
    </w:p>
    <w:p>
      <w:pPr>
        <w:spacing w:after="120"/>
        <w:ind w:left="792" w:hanging="792"/>
        <w:jc w:val="both"/>
      </w:pPr>
      <w:r>
        <w:rPr>
          <w:rFonts w:ascii="Georgia" w:hAnsi="Georgia"/>
          <w:b/>
          <w:i w:val="0"/>
          <w:color w:val="0E2A47"/>
          <w:sz w:val="21"/>
        </w:rPr>
        <w:t>(3)</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MR. YSLAM ATAYEV</w:t>
      </w:r>
      <w:r>
        <w:rPr>
          <w:rFonts w:ascii="Georgia" w:hAnsi="Georgia"/>
          <w:b w:val="0"/>
          <w:i w:val="0"/>
          <w:color w:val="1A1A1A"/>
          <w:sz w:val="21"/>
        </w:rPr>
        <w:t>, holder of passport / Emirates ID no. [ ● ], of [ ● ] (“</w:t>
      </w:r>
      <w:r>
        <w:rPr>
          <w:rFonts w:ascii="Georgia" w:hAnsi="Georgia"/>
          <w:b/>
          <w:i w:val="0"/>
          <w:color w:val="1A1A1A"/>
          <w:sz w:val="21"/>
        </w:rPr>
        <w:t>Mr. Atayev</w:t>
      </w:r>
      <w:r>
        <w:rPr>
          <w:rFonts w:ascii="Georgia" w:hAnsi="Georgia"/>
          <w:b w:val="0"/>
          <w:i w:val="0"/>
          <w:color w:val="1A1A1A"/>
          <w:sz w:val="21"/>
        </w:rPr>
        <w:t>”); and</w:t>
      </w:r>
    </w:p>
    <w:p>
      <w:pPr>
        <w:spacing w:after="120"/>
        <w:ind w:left="792" w:hanging="792"/>
        <w:jc w:val="both"/>
      </w:pPr>
      <w:r>
        <w:rPr>
          <w:rFonts w:ascii="Georgia" w:hAnsi="Georgia"/>
          <w:b/>
          <w:i w:val="0"/>
          <w:color w:val="0E2A47"/>
          <w:sz w:val="21"/>
        </w:rPr>
        <w:t>(4)</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MR. ORAZDURDY MAMIYEV</w:t>
      </w:r>
      <w:r>
        <w:rPr>
          <w:rFonts w:ascii="Georgia" w:hAnsi="Georgia"/>
          <w:b w:val="0"/>
          <w:i w:val="0"/>
          <w:color w:val="1A1A1A"/>
          <w:sz w:val="21"/>
        </w:rPr>
        <w:t>, holder of passport / Emirates ID no. [ ● ], of [ ● ] (“</w:t>
      </w:r>
      <w:r>
        <w:rPr>
          <w:rFonts w:ascii="Georgia" w:hAnsi="Georgia"/>
          <w:b/>
          <w:i w:val="0"/>
          <w:color w:val="1A1A1A"/>
          <w:sz w:val="21"/>
        </w:rPr>
        <w:t>Mr. Mamiyev</w:t>
      </w:r>
      <w:r>
        <w:rPr>
          <w:rFonts w:ascii="Georgia" w:hAnsi="Georgia"/>
          <w:b w:val="0"/>
          <w:i w:val="0"/>
          <w:color w:val="1A1A1A"/>
          <w:sz w:val="21"/>
        </w:rPr>
        <w:t>”).</w:t>
      </w:r>
    </w:p>
    <w:p>
      <w:pPr>
        <w:spacing w:after="120"/>
        <w:jc w:val="both"/>
      </w:pPr>
      <w:r>
        <w:rPr>
          <w:rFonts w:ascii="Georgia" w:hAnsi="Georgia"/>
          <w:b w:val="0"/>
          <w:i w:val="0"/>
          <w:color w:val="1A1A1A"/>
          <w:sz w:val="21"/>
        </w:rPr>
        <w:t>Mr. Atayev and Mr. Mamiyev are together referred to as the “</w:t>
      </w:r>
      <w:r>
        <w:rPr>
          <w:rFonts w:ascii="Georgia" w:hAnsi="Georgia"/>
          <w:b/>
          <w:i w:val="0"/>
          <w:color w:val="1A1A1A"/>
          <w:sz w:val="21"/>
        </w:rPr>
        <w:t>Transferees</w:t>
      </w:r>
      <w:r>
        <w:rPr>
          <w:rFonts w:ascii="Georgia" w:hAnsi="Georgia"/>
          <w:b w:val="0"/>
          <w:i w:val="0"/>
          <w:color w:val="1A1A1A"/>
          <w:sz w:val="21"/>
        </w:rPr>
        <w:t>” and each a “</w:t>
      </w:r>
      <w:r>
        <w:rPr>
          <w:rFonts w:ascii="Georgia" w:hAnsi="Georgia"/>
          <w:b/>
          <w:i w:val="0"/>
          <w:color w:val="1A1A1A"/>
          <w:sz w:val="21"/>
        </w:rPr>
        <w:t>Transferee</w:t>
      </w:r>
      <w:r>
        <w:rPr>
          <w:rFonts w:ascii="Georgia" w:hAnsi="Georgia"/>
          <w:b w:val="0"/>
          <w:i w:val="0"/>
          <w:color w:val="1A1A1A"/>
          <w:sz w:val="21"/>
        </w:rPr>
        <w:t>”. The Transferor, the Company and the Transferees are together referred to as the “</w:t>
      </w:r>
      <w:r>
        <w:rPr>
          <w:rFonts w:ascii="Georgia" w:hAnsi="Georgia"/>
          <w:b/>
          <w:i w:val="0"/>
          <w:color w:val="1A1A1A"/>
          <w:sz w:val="21"/>
        </w:rPr>
        <w:t>Parties</w:t>
      </w:r>
      <w:r>
        <w:rPr>
          <w:rFonts w:ascii="Georgia" w:hAnsi="Georgia"/>
          <w:b w:val="0"/>
          <w:i w:val="0"/>
          <w:color w:val="1A1A1A"/>
          <w:sz w:val="21"/>
        </w:rPr>
        <w:t>” and each a “</w:t>
      </w:r>
      <w:r>
        <w:rPr>
          <w:rFonts w:ascii="Georgia" w:hAnsi="Georgia"/>
          <w:b/>
          <w:i w:val="0"/>
          <w:color w:val="1A1A1A"/>
          <w:sz w:val="21"/>
        </w:rPr>
        <w:t>Party</w:t>
      </w:r>
      <w:r>
        <w:rPr>
          <w:rFonts w:ascii="Georgia" w:hAnsi="Georgia"/>
          <w:b w:val="0"/>
          <w:i w:val="0"/>
          <w:color w:val="1A1A1A"/>
          <w:sz w:val="21"/>
        </w:rPr>
        <w:t>”. The Transferor and the Company are the principal counterparties to this Agreement, and the Transferees join in and execute this Agreement as the recipients of the Transfer Shares and as continuing shareholders of the Company.</w:t>
      </w:r>
    </w:p>
    <w:p>
      <w:pPr>
        <w:keepNext/>
        <w:spacing w:before="240" w:after="100"/>
        <w:pBdr>
          <w:bottom w:val="single" w:sz="8" w:space="3" w:color="B18A3E"/>
        </w:pBdr>
      </w:pPr>
      <w:r>
        <w:rPr>
          <w:rFonts w:ascii="Calibri" w:hAnsi="Calibri"/>
          <w:b/>
          <w:i w:val="0"/>
          <w:color w:val="0E2A47"/>
          <w:sz w:val="24"/>
        </w:rPr>
        <w:t>RECITALS (WHEREAS)</w:t>
      </w:r>
    </w:p>
    <w:p>
      <w:pPr>
        <w:spacing w:after="120"/>
        <w:ind w:left="792" w:hanging="792"/>
        <w:jc w:val="both"/>
      </w:pPr>
      <w:r>
        <w:rPr>
          <w:rFonts w:ascii="Georgia" w:hAnsi="Georgia"/>
          <w:b/>
          <w:i w:val="0"/>
          <w:color w:val="0E2A47"/>
          <w:sz w:val="21"/>
        </w:rPr>
        <w:t>(A)</w:t>
      </w:r>
      <w:r>
        <w:rPr>
          <w:rFonts w:ascii="Georgia" w:hAnsi="Georgia"/>
          <w:b w:val="0"/>
          <w:i w:val="0"/>
          <w:color w:val="1A1A1A"/>
          <w:sz w:val="21"/>
        </w:rPr>
        <w:tab/>
      </w:r>
      <w:r>
        <w:rPr>
          <w:rFonts w:ascii="Georgia" w:hAnsi="Georgia"/>
          <w:b w:val="0"/>
          <w:i w:val="0"/>
          <w:color w:val="1A1A1A"/>
          <w:sz w:val="21"/>
        </w:rPr>
        <w:t>The Company is a limited liability company duly established in the Emirate of Dubai and engaged, among other activities, in the business of holiday homes / short-term rental and the leasing and operation of residential property in Dubai.</w:t>
      </w:r>
    </w:p>
    <w:p>
      <w:pPr>
        <w:spacing w:after="120"/>
        <w:ind w:left="792" w:hanging="792"/>
        <w:jc w:val="both"/>
      </w:pPr>
      <w:r>
        <w:rPr>
          <w:rFonts w:ascii="Georgia" w:hAnsi="Georgia"/>
          <w:b/>
          <w:i w:val="0"/>
          <w:color w:val="0E2A47"/>
          <w:sz w:val="21"/>
        </w:rPr>
        <w:t>(B)</w:t>
      </w:r>
      <w:r>
        <w:rPr>
          <w:rFonts w:ascii="Georgia" w:hAnsi="Georgia"/>
          <w:b w:val="0"/>
          <w:i w:val="0"/>
          <w:color w:val="1A1A1A"/>
          <w:sz w:val="21"/>
        </w:rPr>
        <w:tab/>
      </w:r>
      <w:r>
        <w:rPr>
          <w:rFonts w:ascii="Georgia" w:hAnsi="Georgia"/>
          <w:b w:val="0"/>
          <w:i w:val="0"/>
          <w:color w:val="1A1A1A"/>
          <w:sz w:val="21"/>
        </w:rPr>
        <w:t xml:space="preserve">As at the Effective Date, the issued share capital of the Company is held as follows: </w:t>
      </w:r>
      <w:r>
        <w:rPr>
          <w:rFonts w:ascii="Georgia" w:hAnsi="Georgia"/>
          <w:b/>
          <w:i w:val="0"/>
          <w:color w:val="1A1A1A"/>
          <w:sz w:val="21"/>
        </w:rPr>
        <w:t>Podocarpus – 70%</w:t>
      </w:r>
      <w:r>
        <w:rPr>
          <w:rFonts w:ascii="Georgia" w:hAnsi="Georgia"/>
          <w:b w:val="0"/>
          <w:i w:val="0"/>
          <w:color w:val="1A1A1A"/>
          <w:sz w:val="21"/>
        </w:rPr>
        <w:t xml:space="preserve">; </w:t>
      </w:r>
      <w:r>
        <w:rPr>
          <w:rFonts w:ascii="Georgia" w:hAnsi="Georgia"/>
          <w:b/>
          <w:i w:val="0"/>
          <w:color w:val="1A1A1A"/>
          <w:sz w:val="21"/>
        </w:rPr>
        <w:t>Mr. Atayev – 16%</w:t>
      </w:r>
      <w:r>
        <w:rPr>
          <w:rFonts w:ascii="Georgia" w:hAnsi="Georgia"/>
          <w:b w:val="0"/>
          <w:i w:val="0"/>
          <w:color w:val="1A1A1A"/>
          <w:sz w:val="21"/>
        </w:rPr>
        <w:t xml:space="preserve">; and </w:t>
      </w:r>
      <w:r>
        <w:rPr>
          <w:rFonts w:ascii="Georgia" w:hAnsi="Georgia"/>
          <w:b/>
          <w:i w:val="0"/>
          <w:color w:val="1A1A1A"/>
          <w:sz w:val="21"/>
        </w:rPr>
        <w:t>Mr. Mamiyev – 14%</w:t>
      </w:r>
      <w:r>
        <w:rPr>
          <w:rFonts w:ascii="Georgia" w:hAnsi="Georgia"/>
          <w:b w:val="0"/>
          <w:i w:val="0"/>
          <w:color w:val="1A1A1A"/>
          <w:sz w:val="21"/>
        </w:rPr>
        <w:t xml:space="preserve"> (the “</w:t>
      </w:r>
      <w:r>
        <w:rPr>
          <w:rFonts w:ascii="Georgia" w:hAnsi="Georgia"/>
          <w:b/>
          <w:i w:val="0"/>
          <w:color w:val="1A1A1A"/>
          <w:sz w:val="21"/>
        </w:rPr>
        <w:t>Existing Shareholding</w:t>
      </w:r>
      <w:r>
        <w:rPr>
          <w:rFonts w:ascii="Georgia" w:hAnsi="Georgia"/>
          <w:b w:val="0"/>
          <w:i w:val="0"/>
          <w:color w:val="1A1A1A"/>
          <w:sz w:val="21"/>
        </w:rPr>
        <w:t xml:space="preserve">”), as more particularly set out in </w:t>
      </w:r>
      <w:r>
        <w:rPr>
          <w:rFonts w:ascii="Georgia" w:hAnsi="Georgia"/>
          <w:b/>
          <w:i w:val="0"/>
          <w:color w:val="1A1A1A"/>
          <w:sz w:val="21"/>
        </w:rPr>
        <w:t>Schedule 1</w:t>
      </w:r>
      <w:r>
        <w:rPr>
          <w:rFonts w:ascii="Georgia" w:hAnsi="Georgia"/>
          <w:b w:val="0"/>
          <w:i w:val="0"/>
          <w:color w:val="1A1A1A"/>
          <w:sz w:val="21"/>
        </w:rPr>
        <w:t>.</w:t>
      </w:r>
    </w:p>
    <w:p>
      <w:pPr>
        <w:spacing w:after="120"/>
        <w:ind w:left="792" w:hanging="792"/>
        <w:jc w:val="both"/>
      </w:pPr>
      <w:r>
        <w:rPr>
          <w:rFonts w:ascii="Georgia" w:hAnsi="Georgia"/>
          <w:b/>
          <w:i w:val="0"/>
          <w:color w:val="0E2A47"/>
          <w:sz w:val="21"/>
        </w:rPr>
        <w:t>(C)</w:t>
      </w:r>
      <w:r>
        <w:rPr>
          <w:rFonts w:ascii="Georgia" w:hAnsi="Georgia"/>
          <w:b w:val="0"/>
          <w:i w:val="0"/>
          <w:color w:val="1A1A1A"/>
          <w:sz w:val="21"/>
        </w:rPr>
        <w:tab/>
      </w:r>
      <w:r>
        <w:rPr>
          <w:rFonts w:ascii="Georgia" w:hAnsi="Georgia"/>
          <w:b w:val="0"/>
          <w:i w:val="0"/>
          <w:color w:val="1A1A1A"/>
          <w:sz w:val="21"/>
        </w:rPr>
        <w:t xml:space="preserve">The paid-up capital initially contributed to and deployed in the Company attributable to the Transferor is </w:t>
      </w:r>
      <w:r>
        <w:rPr>
          <w:rFonts w:ascii="Georgia" w:hAnsi="Georgia"/>
          <w:b/>
          <w:i w:val="0"/>
          <w:color w:val="1A1A1A"/>
          <w:sz w:val="21"/>
        </w:rPr>
        <w:t>AED 200,000 (two hundred thousand UAE Dirhams)</w:t>
      </w:r>
      <w:r>
        <w:rPr>
          <w:rFonts w:ascii="Georgia" w:hAnsi="Georgia"/>
          <w:b w:val="0"/>
          <w:i w:val="0"/>
          <w:color w:val="1A1A1A"/>
          <w:sz w:val="21"/>
        </w:rPr>
        <w:t xml:space="preserve"> (the “</w:t>
      </w:r>
      <w:r>
        <w:rPr>
          <w:rFonts w:ascii="Georgia" w:hAnsi="Georgia"/>
          <w:b/>
          <w:i w:val="0"/>
          <w:color w:val="1A1A1A"/>
          <w:sz w:val="21"/>
        </w:rPr>
        <w:t>Initial Capital</w:t>
      </w:r>
      <w:r>
        <w:rPr>
          <w:rFonts w:ascii="Georgia" w:hAnsi="Georgia"/>
          <w:b w:val="0"/>
          <w:i w:val="0"/>
          <w:color w:val="1A1A1A"/>
          <w:sz w:val="21"/>
        </w:rPr>
        <w:t>”).</w:t>
      </w:r>
    </w:p>
    <w:p>
      <w:pPr>
        <w:spacing w:after="120"/>
        <w:ind w:left="792" w:hanging="792"/>
        <w:jc w:val="both"/>
      </w:pPr>
      <w:r>
        <w:rPr>
          <w:rFonts w:ascii="Georgia" w:hAnsi="Georgia"/>
          <w:b/>
          <w:i w:val="0"/>
          <w:color w:val="0E2A47"/>
          <w:sz w:val="21"/>
        </w:rPr>
        <w:t>(D)</w:t>
      </w:r>
      <w:r>
        <w:rPr>
          <w:rFonts w:ascii="Georgia" w:hAnsi="Georgia"/>
          <w:b w:val="0"/>
          <w:i w:val="0"/>
          <w:color w:val="1A1A1A"/>
          <w:sz w:val="21"/>
        </w:rPr>
        <w:tab/>
      </w:r>
      <w:r>
        <w:rPr>
          <w:rFonts w:ascii="Georgia" w:hAnsi="Georgia"/>
          <w:b w:val="0"/>
          <w:i w:val="0"/>
          <w:color w:val="1A1A1A"/>
          <w:sz w:val="21"/>
        </w:rPr>
        <w:t xml:space="preserve">The Transferor wishes to incentivise and reward the continuing efforts and performance of the Transferees in growing the business of the Company by agreeing to transfer to them, conditionally and as a performance reward, an aggregate of </w:t>
      </w:r>
      <w:r>
        <w:rPr>
          <w:rFonts w:ascii="Georgia" w:hAnsi="Georgia"/>
          <w:b/>
          <w:i w:val="0"/>
          <w:color w:val="1A1A1A"/>
          <w:sz w:val="21"/>
        </w:rPr>
        <w:t>21% (twenty-one per cent)</w:t>
      </w:r>
      <w:r>
        <w:rPr>
          <w:rFonts w:ascii="Georgia" w:hAnsi="Georgia"/>
          <w:b w:val="0"/>
          <w:i w:val="0"/>
          <w:color w:val="1A1A1A"/>
          <w:sz w:val="21"/>
        </w:rPr>
        <w:t xml:space="preserve"> of the issued share capital of the Company, subject to and conditional upon the achievement of the Performance Threshold described in this Agreement.</w:t>
      </w:r>
    </w:p>
    <w:p>
      <w:pPr>
        <w:spacing w:after="120"/>
        <w:ind w:left="792" w:hanging="792"/>
        <w:jc w:val="both"/>
      </w:pPr>
      <w:r>
        <w:rPr>
          <w:rFonts w:ascii="Georgia" w:hAnsi="Georgia"/>
          <w:b/>
          <w:i w:val="0"/>
          <w:color w:val="0E2A47"/>
          <w:sz w:val="21"/>
        </w:rPr>
        <w:t>(E)</w:t>
      </w:r>
      <w:r>
        <w:rPr>
          <w:rFonts w:ascii="Georgia" w:hAnsi="Georgia"/>
          <w:b w:val="0"/>
          <w:i w:val="0"/>
          <w:color w:val="1A1A1A"/>
          <w:sz w:val="21"/>
        </w:rPr>
        <w:tab/>
      </w:r>
      <w:r>
        <w:rPr>
          <w:rFonts w:ascii="Georgia" w:hAnsi="Georgia"/>
          <w:b w:val="0"/>
          <w:i w:val="0"/>
          <w:color w:val="1A1A1A"/>
          <w:sz w:val="21"/>
        </w:rPr>
        <w:t xml:space="preserve">It is the express intention of the Parties that (i) the right to effect the transfer, and the determination of how the 21% is allocated between the Transferees according to their respective performance, shall vest in and be exercised by the Founder of the Transferor in the Founder’s </w:t>
      </w:r>
      <w:r>
        <w:rPr>
          <w:rFonts w:ascii="Georgia" w:hAnsi="Georgia"/>
          <w:b/>
          <w:i w:val="0"/>
          <w:color w:val="1A1A1A"/>
          <w:sz w:val="21"/>
        </w:rPr>
        <w:t>absolute and sole discretion</w:t>
      </w:r>
      <w:r>
        <w:rPr>
          <w:rFonts w:ascii="Georgia" w:hAnsi="Georgia"/>
          <w:b w:val="0"/>
          <w:i w:val="0"/>
          <w:color w:val="1A1A1A"/>
          <w:sz w:val="21"/>
        </w:rPr>
        <w:t>; and (ii) no transfer shall occur unless and until the Performance Threshold is satisfied.</w:t>
      </w:r>
    </w:p>
    <w:p>
      <w:pPr>
        <w:spacing w:after="120"/>
        <w:ind w:left="792" w:hanging="792"/>
        <w:jc w:val="both"/>
      </w:pPr>
      <w:r>
        <w:rPr>
          <w:rFonts w:ascii="Georgia" w:hAnsi="Georgia"/>
          <w:b/>
          <w:i w:val="0"/>
          <w:color w:val="0E2A47"/>
          <w:sz w:val="21"/>
        </w:rPr>
        <w:t>(F)</w:t>
      </w:r>
      <w:r>
        <w:rPr>
          <w:rFonts w:ascii="Georgia" w:hAnsi="Georgia"/>
          <w:b w:val="0"/>
          <w:i w:val="0"/>
          <w:color w:val="1A1A1A"/>
          <w:sz w:val="21"/>
        </w:rPr>
        <w:tab/>
      </w:r>
      <w:r>
        <w:rPr>
          <w:rFonts w:ascii="Georgia" w:hAnsi="Georgia"/>
          <w:b w:val="0"/>
          <w:i w:val="0"/>
          <w:color w:val="1A1A1A"/>
          <w:sz w:val="21"/>
        </w:rPr>
        <w:t>The Parties enter into this Agreement to record the binding terms upon which the said transfer shall, upon satisfaction of the conditions set out herein, be carried into effect.</w:t>
      </w:r>
    </w:p>
    <w:p>
      <w:pPr>
        <w:keepNext/>
        <w:spacing w:before="240" w:after="100"/>
        <w:pBdr>
          <w:bottom w:val="single" w:sz="8" w:space="3" w:color="B18A3E"/>
        </w:pBdr>
      </w:pPr>
      <w:r>
        <w:rPr>
          <w:rFonts w:ascii="Calibri" w:hAnsi="Calibri"/>
          <w:b/>
          <w:i w:val="0"/>
          <w:color w:val="0E2A47"/>
          <w:sz w:val="24"/>
        </w:rPr>
        <w:t>OPERATIVE PROVISIONS</w:t>
      </w:r>
    </w:p>
    <w:p>
      <w:pPr>
        <w:spacing w:after="160"/>
        <w:jc w:val="both"/>
      </w:pPr>
      <w:r>
        <w:rPr>
          <w:rFonts w:ascii="Georgia" w:hAnsi="Georgia"/>
          <w:b w:val="0"/>
          <w:i w:val="0"/>
          <w:color w:val="1A1A1A"/>
          <w:sz w:val="21"/>
        </w:rPr>
      </w:r>
      <w:r>
        <w:rPr>
          <w:rFonts w:ascii="Georgia" w:hAnsi="Georgia"/>
          <w:b/>
          <w:i w:val="0"/>
          <w:color w:val="1A1A1A"/>
          <w:sz w:val="21"/>
        </w:rPr>
        <w:t>NOW IT IS HEREBY AGREED</w:t>
      </w:r>
      <w:r>
        <w:rPr>
          <w:rFonts w:ascii="Georgia" w:hAnsi="Georgia"/>
          <w:b w:val="0"/>
          <w:i w:val="0"/>
          <w:color w:val="1A1A1A"/>
          <w:sz w:val="21"/>
        </w:rPr>
        <w:t xml:space="preserve"> as follows:</w:t>
      </w:r>
    </w:p>
    <w:p>
      <w:pPr>
        <w:keepNext/>
        <w:spacing w:before="280" w:after="80"/>
      </w:pPr>
      <w:r>
        <w:rPr>
          <w:rFonts w:ascii="Calibri" w:hAnsi="Calibri"/>
          <w:b/>
          <w:i w:val="0"/>
          <w:color w:val="0E2A47"/>
          <w:sz w:val="23"/>
        </w:rPr>
        <w:t>1.</w:t>
      </w:r>
      <w:r>
        <w:rPr>
          <w:rFonts w:ascii="Calibri" w:hAnsi="Calibri"/>
          <w:b/>
          <w:i w:val="0"/>
          <w:color w:val="0E2A47"/>
          <w:sz w:val="23"/>
        </w:rPr>
        <w:t xml:space="preserve">   </w:t>
      </w:r>
      <w:r>
        <w:rPr>
          <w:rFonts w:ascii="Calibri" w:hAnsi="Calibri"/>
          <w:b/>
          <w:i w:val="0"/>
          <w:color w:val="0E2A47"/>
          <w:sz w:val="23"/>
        </w:rPr>
        <w:t>DEFINITIONS AND INTERPRETATION</w:t>
      </w:r>
    </w:p>
    <w:p>
      <w:pPr>
        <w:spacing w:after="120"/>
        <w:ind w:left="792" w:hanging="792"/>
        <w:jc w:val="both"/>
      </w:pPr>
      <w:r>
        <w:rPr>
          <w:rFonts w:ascii="Georgia" w:hAnsi="Georgia"/>
          <w:b/>
          <w:i w:val="0"/>
          <w:color w:val="0E2A47"/>
          <w:sz w:val="21"/>
        </w:rPr>
        <w:t>1.1</w:t>
      </w:r>
      <w:r>
        <w:rPr>
          <w:rFonts w:ascii="Georgia" w:hAnsi="Georgia"/>
          <w:b w:val="0"/>
          <w:i w:val="0"/>
          <w:color w:val="1A1A1A"/>
          <w:sz w:val="21"/>
        </w:rPr>
        <w:tab/>
      </w:r>
      <w:r>
        <w:rPr>
          <w:rFonts w:ascii="Georgia" w:hAnsi="Georgia"/>
          <w:b w:val="0"/>
          <w:i w:val="0"/>
          <w:color w:val="1A1A1A"/>
          <w:sz w:val="21"/>
        </w:rPr>
        <w:t>In this Agreement, unless the context otherwise requires, the following expressions have the following meanings:</w:t>
      </w:r>
    </w:p>
    <w:p>
      <w:pPr>
        <w:spacing w:after="100"/>
        <w:ind w:left="1440" w:hanging="648"/>
        <w:jc w:val="both"/>
      </w:pPr>
      <w:r>
        <w:rPr>
          <w:rFonts w:ascii="Georgia" w:hAnsi="Georgia"/>
          <w:b/>
          <w:i w:val="0"/>
          <w:color w:val="0E2A47"/>
          <w:sz w:val="21"/>
        </w:rPr>
        <w:t>“AED”</w:t>
      </w:r>
      <w:r>
        <w:rPr>
          <w:rFonts w:ascii="Georgia" w:hAnsi="Georgia"/>
          <w:b w:val="0"/>
          <w:i w:val="0"/>
          <w:color w:val="1A1A1A"/>
          <w:sz w:val="21"/>
        </w:rPr>
        <w:t xml:space="preserve">  means the lawful currency of the United Arab Emirates (UAE Dirham).</w:t>
      </w:r>
    </w:p>
    <w:p>
      <w:pPr>
        <w:spacing w:after="100"/>
        <w:ind w:left="1440" w:hanging="648"/>
        <w:jc w:val="both"/>
      </w:pPr>
      <w:r>
        <w:rPr>
          <w:rFonts w:ascii="Georgia" w:hAnsi="Georgia"/>
          <w:b/>
          <w:i w:val="0"/>
          <w:color w:val="0E2A47"/>
          <w:sz w:val="21"/>
        </w:rPr>
        <w:t>“Applicable Law”</w:t>
      </w:r>
      <w:r>
        <w:rPr>
          <w:rFonts w:ascii="Georgia" w:hAnsi="Georgia"/>
          <w:b w:val="0"/>
          <w:i w:val="0"/>
          <w:color w:val="1A1A1A"/>
          <w:sz w:val="21"/>
        </w:rPr>
        <w:t xml:space="preserve">  means the federal laws of the United Arab Emirates and the laws, regulations and administrative requirements applicable in the Emirate of Dubai, including UAE Federal Decree-Law No. (32) of 2021 on Commercial Companies (as amended) (the “CCL”) and the requirements of the Department of Economy and Tourism, Dubai (“DET”).</w:t>
      </w:r>
    </w:p>
    <w:p>
      <w:pPr>
        <w:spacing w:after="100"/>
        <w:ind w:left="1440" w:hanging="648"/>
        <w:jc w:val="both"/>
      </w:pPr>
      <w:r>
        <w:rPr>
          <w:rFonts w:ascii="Georgia" w:hAnsi="Georgia"/>
          <w:b/>
          <w:i w:val="0"/>
          <w:color w:val="0E2A47"/>
          <w:sz w:val="21"/>
        </w:rPr>
        <w:t>“Allocation Notice”</w:t>
      </w:r>
      <w:r>
        <w:rPr>
          <w:rFonts w:ascii="Georgia" w:hAnsi="Georgia"/>
          <w:b w:val="0"/>
          <w:i w:val="0"/>
          <w:color w:val="1A1A1A"/>
          <w:sz w:val="21"/>
        </w:rPr>
        <w:t xml:space="preserve">  means the written notice issued by the Founder pursuant to Clause 4 determining the respective percentages of the Transfer Shares to be transferred to each Transferee, substantially in the form of Schedule 3.</w:t>
      </w:r>
    </w:p>
    <w:p>
      <w:pPr>
        <w:spacing w:after="100"/>
        <w:ind w:left="1440" w:hanging="648"/>
        <w:jc w:val="both"/>
      </w:pPr>
      <w:r>
        <w:rPr>
          <w:rFonts w:ascii="Georgia" w:hAnsi="Georgia"/>
          <w:b/>
          <w:i w:val="0"/>
          <w:color w:val="0E2A47"/>
          <w:sz w:val="21"/>
        </w:rPr>
        <w:t>“Capital Recovery Amount”</w:t>
      </w:r>
      <w:r>
        <w:rPr>
          <w:rFonts w:ascii="Georgia" w:hAnsi="Georgia"/>
          <w:b w:val="0"/>
          <w:i w:val="0"/>
          <w:color w:val="1A1A1A"/>
          <w:sz w:val="21"/>
        </w:rPr>
        <w:t xml:space="preserve">  means AED 200,000 (two hundred thousand UAE Dirhams), being the amount of Cumulative Gross Profit notionally attributable to the full recovery of the Initial Capital.</w:t>
      </w:r>
    </w:p>
    <w:p>
      <w:pPr>
        <w:spacing w:after="100"/>
        <w:ind w:left="1440" w:hanging="648"/>
        <w:jc w:val="both"/>
      </w:pPr>
      <w:r>
        <w:rPr>
          <w:rFonts w:ascii="Georgia" w:hAnsi="Georgia"/>
          <w:b/>
          <w:i w:val="0"/>
          <w:color w:val="0E2A47"/>
          <w:sz w:val="21"/>
        </w:rPr>
        <w:t>“Completion”</w:t>
      </w:r>
      <w:r>
        <w:rPr>
          <w:rFonts w:ascii="Georgia" w:hAnsi="Georgia"/>
          <w:b w:val="0"/>
          <w:i w:val="0"/>
          <w:color w:val="1A1A1A"/>
          <w:sz w:val="21"/>
        </w:rPr>
        <w:t xml:space="preserve">  means completion of the transfer of the Transfer Shares in accordance with Clause 6, including notarisation and registration with the DET.</w:t>
      </w:r>
    </w:p>
    <w:p>
      <w:pPr>
        <w:spacing w:after="100"/>
        <w:ind w:left="1440" w:hanging="648"/>
        <w:jc w:val="both"/>
      </w:pPr>
      <w:r>
        <w:rPr>
          <w:rFonts w:ascii="Georgia" w:hAnsi="Georgia"/>
          <w:b/>
          <w:i w:val="0"/>
          <w:color w:val="0E2A47"/>
          <w:sz w:val="21"/>
        </w:rPr>
        <w:t>“Cumulative Gross Profit”</w:t>
      </w:r>
      <w:r>
        <w:rPr>
          <w:rFonts w:ascii="Georgia" w:hAnsi="Georgia"/>
          <w:b w:val="0"/>
          <w:i w:val="0"/>
          <w:color w:val="1A1A1A"/>
          <w:sz w:val="21"/>
        </w:rPr>
        <w:t xml:space="preserve">  means the aggregate gross profit of the Company (being total revenue actually realised and received by the Company less the direct cost of generating that revenue) accumulated from the commencement of the Company’s operations up to the date of measurement, as determined in accordance with Schedule 2.</w:t>
      </w:r>
    </w:p>
    <w:p>
      <w:pPr>
        <w:spacing w:after="100"/>
        <w:ind w:left="1440" w:hanging="648"/>
        <w:jc w:val="both"/>
      </w:pPr>
      <w:r>
        <w:rPr>
          <w:rFonts w:ascii="Georgia" w:hAnsi="Georgia"/>
          <w:b/>
          <w:i w:val="0"/>
          <w:color w:val="0E2A47"/>
          <w:sz w:val="21"/>
        </w:rPr>
        <w:t>“Encumbrance”</w:t>
      </w:r>
      <w:r>
        <w:rPr>
          <w:rFonts w:ascii="Georgia" w:hAnsi="Georgia"/>
          <w:b w:val="0"/>
          <w:i w:val="0"/>
          <w:color w:val="1A1A1A"/>
          <w:sz w:val="21"/>
        </w:rPr>
        <w:t xml:space="preserve">  means any mortgage, charge, pledge, lien, option, restriction, right of first refusal, right of pre-emption, third-party right or interest, or any other encumbrance or security interest of any kind.</w:t>
      </w:r>
    </w:p>
    <w:p>
      <w:pPr>
        <w:spacing w:after="100"/>
        <w:ind w:left="1440" w:hanging="648"/>
        <w:jc w:val="both"/>
      </w:pPr>
      <w:r>
        <w:rPr>
          <w:rFonts w:ascii="Georgia" w:hAnsi="Georgia"/>
          <w:b/>
          <w:i w:val="0"/>
          <w:color w:val="0E2A47"/>
          <w:sz w:val="21"/>
        </w:rPr>
        <w:t>“Founder”</w:t>
      </w:r>
      <w:r>
        <w:rPr>
          <w:rFonts w:ascii="Georgia" w:hAnsi="Georgia"/>
          <w:b w:val="0"/>
          <w:i w:val="0"/>
          <w:color w:val="1A1A1A"/>
          <w:sz w:val="21"/>
        </w:rPr>
        <w:t xml:space="preserve">  means [ ●  full name ], holder of passport / Emirates ID no. [ ● ], being the founder of the Transferor, or such other person as the Transferor may by written notice designate as exercising the Founder’s rights under this Agreement.</w:t>
      </w:r>
    </w:p>
    <w:p>
      <w:pPr>
        <w:spacing w:after="100"/>
        <w:ind w:left="1440" w:hanging="648"/>
        <w:jc w:val="both"/>
      </w:pPr>
      <w:r>
        <w:rPr>
          <w:rFonts w:ascii="Georgia" w:hAnsi="Georgia"/>
          <w:b/>
          <w:i w:val="0"/>
          <w:color w:val="0E2A47"/>
          <w:sz w:val="21"/>
        </w:rPr>
        <w:t>“Performance Threshold”</w:t>
      </w:r>
      <w:r>
        <w:rPr>
          <w:rFonts w:ascii="Georgia" w:hAnsi="Georgia"/>
          <w:b w:val="0"/>
          <w:i w:val="0"/>
          <w:color w:val="1A1A1A"/>
          <w:sz w:val="21"/>
        </w:rPr>
        <w:t xml:space="preserve">  means the achievement by the Company of Cumulative Gross Profit of not less than AED 400,000 (four hundred thousand UAE Dirhams), comprising the Capital Recovery Amount of AED 200,000 plus the Surplus Profit Amount of AED 200,000, as more particularly described in Clause 3 and Schedule 2.</w:t>
      </w:r>
    </w:p>
    <w:p>
      <w:pPr>
        <w:spacing w:after="100"/>
        <w:ind w:left="1440" w:hanging="648"/>
        <w:jc w:val="both"/>
      </w:pPr>
      <w:r>
        <w:rPr>
          <w:rFonts w:ascii="Georgia" w:hAnsi="Georgia"/>
          <w:b/>
          <w:i w:val="0"/>
          <w:color w:val="0E2A47"/>
          <w:sz w:val="21"/>
        </w:rPr>
        <w:t>“Surplus Profit Amount”</w:t>
      </w:r>
      <w:r>
        <w:rPr>
          <w:rFonts w:ascii="Georgia" w:hAnsi="Georgia"/>
          <w:b w:val="0"/>
          <w:i w:val="0"/>
          <w:color w:val="1A1A1A"/>
          <w:sz w:val="21"/>
        </w:rPr>
        <w:t xml:space="preserve">  means AED 200,000 (two hundred thousand UAE Dirhams), being the additional Cumulative Gross Profit required to be generated for the Company over and above the Capital Recovery Amount.</w:t>
      </w:r>
    </w:p>
    <w:p>
      <w:pPr>
        <w:spacing w:after="100"/>
        <w:ind w:left="1440" w:hanging="648"/>
        <w:jc w:val="both"/>
      </w:pPr>
      <w:r>
        <w:rPr>
          <w:rFonts w:ascii="Georgia" w:hAnsi="Georgia"/>
          <w:b/>
          <w:i w:val="0"/>
          <w:color w:val="0E2A47"/>
          <w:sz w:val="21"/>
        </w:rPr>
        <w:t>“Transfer Shares”</w:t>
      </w:r>
      <w:r>
        <w:rPr>
          <w:rFonts w:ascii="Georgia" w:hAnsi="Georgia"/>
          <w:b w:val="0"/>
          <w:i w:val="0"/>
          <w:color w:val="1A1A1A"/>
          <w:sz w:val="21"/>
        </w:rPr>
        <w:t xml:space="preserve">  means an aggregate of 21% (twenty-one per cent) of the issued share capital of the Company currently held by the Transferor, to be transferred to the Transferees in the proportions determined under the Allocation Notice.</w:t>
      </w:r>
    </w:p>
    <w:p>
      <w:pPr>
        <w:spacing w:after="100"/>
        <w:ind w:left="1440" w:hanging="648"/>
        <w:jc w:val="both"/>
      </w:pPr>
      <w:r>
        <w:rPr>
          <w:rFonts w:ascii="Georgia" w:hAnsi="Georgia"/>
          <w:b/>
          <w:i w:val="0"/>
          <w:color w:val="0E2A47"/>
          <w:sz w:val="21"/>
        </w:rPr>
        <w:t>“Trigger Event”</w:t>
      </w:r>
      <w:r>
        <w:rPr>
          <w:rFonts w:ascii="Georgia" w:hAnsi="Georgia"/>
          <w:b w:val="0"/>
          <w:i w:val="0"/>
          <w:color w:val="1A1A1A"/>
          <w:sz w:val="21"/>
        </w:rPr>
        <w:t xml:space="preserve">  means satisfaction of the Performance Threshold, being the event upon which the Transferor’s obligation to transfer the Transfer Shares (subject to the Founder’s rights under Clause 5) arises.</w:t>
      </w:r>
    </w:p>
    <w:p>
      <w:pPr>
        <w:spacing w:after="120"/>
        <w:ind w:left="792" w:hanging="792"/>
        <w:jc w:val="both"/>
      </w:pPr>
      <w:r>
        <w:rPr>
          <w:rFonts w:ascii="Georgia" w:hAnsi="Georgia"/>
          <w:b/>
          <w:i w:val="0"/>
          <w:color w:val="0E2A47"/>
          <w:sz w:val="21"/>
        </w:rPr>
        <w:t>1.2</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Interpretation.</w:t>
      </w:r>
      <w:r>
        <w:rPr>
          <w:rFonts w:ascii="Georgia" w:hAnsi="Georgia"/>
          <w:b w:val="0"/>
          <w:i w:val="0"/>
          <w:color w:val="1A1A1A"/>
          <w:sz w:val="21"/>
        </w:rPr>
        <w:t xml:space="preserve"> Clause headings are for convenience only and do not affect interpretation. References to a “Clause” or “Schedule” are to clauses of and schedules to this Agreement; the Schedules form part of this Agreement. Words importing the singular include the plural and vice versa. References to a “person” include natural persons and bodies corporate. A reference to a statute or statutory provision is a reference to it as amended, consolidated or re-enacted from time to time. “Including” means including without limitation.</w:t>
      </w:r>
    </w:p>
    <w:p>
      <w:pPr>
        <w:keepNext/>
        <w:spacing w:before="280" w:after="80"/>
      </w:pPr>
      <w:r>
        <w:rPr>
          <w:rFonts w:ascii="Calibri" w:hAnsi="Calibri"/>
          <w:b/>
          <w:i w:val="0"/>
          <w:color w:val="0E2A47"/>
          <w:sz w:val="23"/>
        </w:rPr>
        <w:t>2.</w:t>
      </w:r>
      <w:r>
        <w:rPr>
          <w:rFonts w:ascii="Calibri" w:hAnsi="Calibri"/>
          <w:b/>
          <w:i w:val="0"/>
          <w:color w:val="0E2A47"/>
          <w:sz w:val="23"/>
        </w:rPr>
        <w:t xml:space="preserve">   </w:t>
      </w:r>
      <w:r>
        <w:rPr>
          <w:rFonts w:ascii="Calibri" w:hAnsi="Calibri"/>
          <w:b/>
          <w:i w:val="0"/>
          <w:color w:val="0E2A47"/>
          <w:sz w:val="23"/>
        </w:rPr>
        <w:t>SUBJECT MATTER AND CONDITIONAL NATURE</w:t>
      </w:r>
    </w:p>
    <w:p>
      <w:pPr>
        <w:spacing w:after="120"/>
        <w:ind w:left="792" w:hanging="792"/>
        <w:jc w:val="both"/>
      </w:pPr>
      <w:r>
        <w:rPr>
          <w:rFonts w:ascii="Georgia" w:hAnsi="Georgia"/>
          <w:b/>
          <w:i w:val="0"/>
          <w:color w:val="0E2A47"/>
          <w:sz w:val="21"/>
        </w:rPr>
        <w:t>2.1</w:t>
      </w:r>
      <w:r>
        <w:rPr>
          <w:rFonts w:ascii="Georgia" w:hAnsi="Georgia"/>
          <w:b w:val="0"/>
          <w:i w:val="0"/>
          <w:color w:val="1A1A1A"/>
          <w:sz w:val="21"/>
        </w:rPr>
        <w:tab/>
      </w:r>
      <w:r>
        <w:rPr>
          <w:rFonts w:ascii="Georgia" w:hAnsi="Georgia"/>
          <w:b w:val="0"/>
          <w:i w:val="0"/>
          <w:color w:val="1A1A1A"/>
          <w:sz w:val="21"/>
        </w:rPr>
        <w:t xml:space="preserve">This Agreement records the binding terms upon which the Transferor agrees to transfer, and the Transferees agree to acquire, the Transfer Shares as a performance reward, </w:t>
      </w:r>
      <w:r>
        <w:rPr>
          <w:rFonts w:ascii="Georgia" w:hAnsi="Georgia"/>
          <w:b/>
          <w:i w:val="0"/>
          <w:color w:val="1A1A1A"/>
          <w:sz w:val="21"/>
        </w:rPr>
        <w:t>conditional upon and subject to</w:t>
      </w:r>
      <w:r>
        <w:rPr>
          <w:rFonts w:ascii="Georgia" w:hAnsi="Georgia"/>
          <w:b w:val="0"/>
          <w:i w:val="0"/>
          <w:color w:val="1A1A1A"/>
          <w:sz w:val="21"/>
        </w:rPr>
        <w:t xml:space="preserve"> the occurrence of the Trigger Event and the issuance of the Allocation Notice.</w:t>
      </w:r>
    </w:p>
    <w:p>
      <w:pPr>
        <w:spacing w:after="120"/>
        <w:ind w:left="792" w:hanging="792"/>
        <w:jc w:val="both"/>
      </w:pPr>
      <w:r>
        <w:rPr>
          <w:rFonts w:ascii="Georgia" w:hAnsi="Georgia"/>
          <w:b/>
          <w:i w:val="0"/>
          <w:color w:val="0E2A47"/>
          <w:sz w:val="21"/>
        </w:rPr>
        <w:t>2.2</w:t>
      </w:r>
      <w:r>
        <w:rPr>
          <w:rFonts w:ascii="Georgia" w:hAnsi="Georgia"/>
          <w:b w:val="0"/>
          <w:i w:val="0"/>
          <w:color w:val="1A1A1A"/>
          <w:sz w:val="21"/>
        </w:rPr>
        <w:tab/>
      </w:r>
      <w:r>
        <w:rPr>
          <w:rFonts w:ascii="Georgia" w:hAnsi="Georgia"/>
          <w:b w:val="0"/>
          <w:i w:val="0"/>
          <w:color w:val="1A1A1A"/>
          <w:sz w:val="21"/>
        </w:rPr>
        <w:t xml:space="preserve">The Parties acknowledge and agree that, notwithstanding any other provision of this Agreement, </w:t>
      </w:r>
      <w:r>
        <w:rPr>
          <w:rFonts w:ascii="Georgia" w:hAnsi="Georgia"/>
          <w:b/>
          <w:i w:val="0"/>
          <w:color w:val="1A1A1A"/>
          <w:sz w:val="21"/>
        </w:rPr>
        <w:t>no legal or beneficial interest in the Transfer Shares shall pass</w:t>
      </w:r>
      <w:r>
        <w:rPr>
          <w:rFonts w:ascii="Georgia" w:hAnsi="Georgia"/>
          <w:b w:val="0"/>
          <w:i w:val="0"/>
          <w:color w:val="1A1A1A"/>
          <w:sz w:val="21"/>
        </w:rPr>
        <w:t xml:space="preserve"> to either Transferee unless and until (a) the Trigger Event has occurred; (b) the Founder has issued the Allocation Notice; and (c) Completion has taken place in accordance with Clause 6.</w:t>
      </w:r>
    </w:p>
    <w:p>
      <w:pPr>
        <w:spacing w:after="120"/>
        <w:ind w:left="792" w:hanging="792"/>
        <w:jc w:val="both"/>
      </w:pPr>
      <w:r>
        <w:rPr>
          <w:rFonts w:ascii="Georgia" w:hAnsi="Georgia"/>
          <w:b/>
          <w:i w:val="0"/>
          <w:color w:val="0E2A47"/>
          <w:sz w:val="21"/>
        </w:rPr>
        <w:t>2.3</w:t>
      </w:r>
      <w:r>
        <w:rPr>
          <w:rFonts w:ascii="Georgia" w:hAnsi="Georgia"/>
          <w:b w:val="0"/>
          <w:i w:val="0"/>
          <w:color w:val="1A1A1A"/>
          <w:sz w:val="21"/>
        </w:rPr>
        <w:tab/>
      </w:r>
      <w:r>
        <w:rPr>
          <w:rFonts w:ascii="Georgia" w:hAnsi="Georgia"/>
          <w:b w:val="0"/>
          <w:i w:val="0"/>
          <w:color w:val="1A1A1A"/>
          <w:sz w:val="21"/>
        </w:rPr>
        <w:t>Until Completion, the Transferor shall remain the legal and beneficial owner of the entirety of its 70% shareholding and shall be entitled to exercise all rights attaching to those shares, including voting and dividend rights.</w:t>
      </w:r>
    </w:p>
    <w:p>
      <w:pPr>
        <w:keepNext/>
        <w:spacing w:before="280" w:after="80"/>
      </w:pPr>
      <w:r>
        <w:rPr>
          <w:rFonts w:ascii="Calibri" w:hAnsi="Calibri"/>
          <w:b/>
          <w:i w:val="0"/>
          <w:color w:val="0E2A47"/>
          <w:sz w:val="23"/>
        </w:rPr>
        <w:t>3.</w:t>
      </w:r>
      <w:r>
        <w:rPr>
          <w:rFonts w:ascii="Calibri" w:hAnsi="Calibri"/>
          <w:b/>
          <w:i w:val="0"/>
          <w:color w:val="0E2A47"/>
          <w:sz w:val="23"/>
        </w:rPr>
        <w:t xml:space="preserve">   </w:t>
      </w:r>
      <w:r>
        <w:rPr>
          <w:rFonts w:ascii="Calibri" w:hAnsi="Calibri"/>
          <w:b/>
          <w:i w:val="0"/>
          <w:color w:val="0E2A47"/>
          <w:sz w:val="23"/>
        </w:rPr>
        <w:t>PERFORMANCE THRESHOLD (THE SALES / PROFIT CONDITION)</w:t>
      </w:r>
    </w:p>
    <w:p>
      <w:pPr>
        <w:spacing w:after="120"/>
        <w:ind w:left="792" w:hanging="792"/>
        <w:jc w:val="both"/>
      </w:pPr>
      <w:r>
        <w:rPr>
          <w:rFonts w:ascii="Georgia" w:hAnsi="Georgia"/>
          <w:b/>
          <w:i w:val="0"/>
          <w:color w:val="0E2A47"/>
          <w:sz w:val="21"/>
        </w:rPr>
        <w:t>3.1</w:t>
      </w:r>
      <w:r>
        <w:rPr>
          <w:rFonts w:ascii="Georgia" w:hAnsi="Georgia"/>
          <w:b w:val="0"/>
          <w:i w:val="0"/>
          <w:color w:val="1A1A1A"/>
          <w:sz w:val="21"/>
        </w:rPr>
        <w:tab/>
      </w:r>
      <w:r>
        <w:rPr>
          <w:rFonts w:ascii="Georgia" w:hAnsi="Georgia"/>
          <w:b w:val="0"/>
          <w:i w:val="0"/>
          <w:color w:val="1A1A1A"/>
          <w:sz w:val="21"/>
        </w:rPr>
        <w:t xml:space="preserve">The transfer of the Transfer Shares is conditional upon the Company achieving the </w:t>
      </w:r>
      <w:r>
        <w:rPr>
          <w:rFonts w:ascii="Georgia" w:hAnsi="Georgia"/>
          <w:b/>
          <w:i w:val="0"/>
          <w:color w:val="1A1A1A"/>
          <w:sz w:val="21"/>
        </w:rPr>
        <w:t>Performance Threshold</w:t>
      </w:r>
      <w:r>
        <w:rPr>
          <w:rFonts w:ascii="Georgia" w:hAnsi="Georgia"/>
          <w:b w:val="0"/>
          <w:i w:val="0"/>
          <w:color w:val="1A1A1A"/>
          <w:sz w:val="21"/>
        </w:rPr>
        <w:t xml:space="preserve">, namely Cumulative Gross Profit of not less than </w:t>
      </w:r>
      <w:r>
        <w:rPr>
          <w:rFonts w:ascii="Georgia" w:hAnsi="Georgia"/>
          <w:b/>
          <w:i w:val="0"/>
          <w:color w:val="1A1A1A"/>
          <w:sz w:val="21"/>
        </w:rPr>
        <w:t>AED 400,000 (four hundred thousand UAE Dirhams)</w:t>
      </w:r>
      <w:r>
        <w:rPr>
          <w:rFonts w:ascii="Georgia" w:hAnsi="Georgia"/>
          <w:b w:val="0"/>
          <w:i w:val="0"/>
          <w:color w:val="1A1A1A"/>
          <w:sz w:val="21"/>
        </w:rPr>
        <w:t>.</w:t>
      </w:r>
    </w:p>
    <w:p>
      <w:pPr>
        <w:spacing w:after="120"/>
        <w:ind w:left="792" w:hanging="792"/>
        <w:jc w:val="both"/>
      </w:pPr>
      <w:r>
        <w:rPr>
          <w:rFonts w:ascii="Georgia" w:hAnsi="Georgia"/>
          <w:b/>
          <w:i w:val="0"/>
          <w:color w:val="0E2A47"/>
          <w:sz w:val="21"/>
        </w:rPr>
        <w:t>3.2</w:t>
      </w:r>
      <w:r>
        <w:rPr>
          <w:rFonts w:ascii="Georgia" w:hAnsi="Georgia"/>
          <w:b w:val="0"/>
          <w:i w:val="0"/>
          <w:color w:val="1A1A1A"/>
          <w:sz w:val="21"/>
        </w:rPr>
        <w:tab/>
      </w:r>
      <w:r>
        <w:rPr>
          <w:rFonts w:ascii="Georgia" w:hAnsi="Georgia"/>
          <w:b w:val="0"/>
          <w:i w:val="0"/>
          <w:color w:val="1A1A1A"/>
          <w:sz w:val="21"/>
        </w:rPr>
        <w:t xml:space="preserve">The Performance Threshold shall be deemed to comprise two components: (a) the </w:t>
      </w:r>
      <w:r>
        <w:rPr>
          <w:rFonts w:ascii="Georgia" w:hAnsi="Georgia"/>
          <w:b/>
          <w:i w:val="0"/>
          <w:color w:val="1A1A1A"/>
          <w:sz w:val="21"/>
        </w:rPr>
        <w:t>Capital Recovery Amount</w:t>
      </w:r>
      <w:r>
        <w:rPr>
          <w:rFonts w:ascii="Georgia" w:hAnsi="Georgia"/>
          <w:b w:val="0"/>
          <w:i w:val="0"/>
          <w:color w:val="1A1A1A"/>
          <w:sz w:val="21"/>
        </w:rPr>
        <w:t xml:space="preserve"> of AED 200,000, representing the full recovery to the Company of the Initial Capital of AED 200,000; and (b) the </w:t>
      </w:r>
      <w:r>
        <w:rPr>
          <w:rFonts w:ascii="Georgia" w:hAnsi="Georgia"/>
          <w:b/>
          <w:i w:val="0"/>
          <w:color w:val="1A1A1A"/>
          <w:sz w:val="21"/>
        </w:rPr>
        <w:t>Surplus Profit Amount</w:t>
      </w:r>
      <w:r>
        <w:rPr>
          <w:rFonts w:ascii="Georgia" w:hAnsi="Georgia"/>
          <w:b w:val="0"/>
          <w:i w:val="0"/>
          <w:color w:val="1A1A1A"/>
          <w:sz w:val="21"/>
        </w:rPr>
        <w:t xml:space="preserve"> of AED 200,000, representing additional profit generated for the Company over and above the Capital Recovery Amount.</w:t>
      </w:r>
    </w:p>
    <w:p>
      <w:pPr>
        <w:spacing w:after="120"/>
        <w:ind w:left="792" w:hanging="792"/>
        <w:jc w:val="both"/>
      </w:pPr>
      <w:r>
        <w:rPr>
          <w:rFonts w:ascii="Georgia" w:hAnsi="Georgia"/>
          <w:b/>
          <w:i w:val="0"/>
          <w:color w:val="0E2A47"/>
          <w:sz w:val="21"/>
        </w:rPr>
        <w:t>3.3</w:t>
      </w:r>
      <w:r>
        <w:rPr>
          <w:rFonts w:ascii="Georgia" w:hAnsi="Georgia"/>
          <w:b w:val="0"/>
          <w:i w:val="0"/>
          <w:color w:val="1A1A1A"/>
          <w:sz w:val="21"/>
        </w:rPr>
        <w:tab/>
      </w:r>
      <w:r>
        <w:rPr>
          <w:rFonts w:ascii="Georgia" w:hAnsi="Georgia"/>
          <w:b w:val="0"/>
          <w:i w:val="0"/>
          <w:color w:val="1A1A1A"/>
          <w:sz w:val="21"/>
        </w:rPr>
        <w:t xml:space="preserve">Cumulative Gross Profit shall be measured on a cumulative basis from the commencement of the Company’s operations and shall be determined in accordance with the methodology set out in </w:t>
      </w:r>
      <w:r>
        <w:rPr>
          <w:rFonts w:ascii="Georgia" w:hAnsi="Georgia"/>
          <w:b/>
          <w:i w:val="0"/>
          <w:color w:val="1A1A1A"/>
          <w:sz w:val="21"/>
        </w:rPr>
        <w:t>Schedule 2</w:t>
      </w:r>
      <w:r>
        <w:rPr>
          <w:rFonts w:ascii="Georgia" w:hAnsi="Georgia"/>
          <w:b w:val="0"/>
          <w:i w:val="0"/>
          <w:color w:val="1A1A1A"/>
          <w:sz w:val="21"/>
        </w:rPr>
        <w:t xml:space="preserve">. There shall be </w:t>
      </w:r>
      <w:r>
        <w:rPr>
          <w:rFonts w:ascii="Georgia" w:hAnsi="Georgia"/>
          <w:b/>
          <w:i w:val="0"/>
          <w:color w:val="1A1A1A"/>
          <w:sz w:val="21"/>
        </w:rPr>
        <w:t>no fixed deadline</w:t>
      </w:r>
      <w:r>
        <w:rPr>
          <w:rFonts w:ascii="Georgia" w:hAnsi="Georgia"/>
          <w:b w:val="0"/>
          <w:i w:val="0"/>
          <w:color w:val="1A1A1A"/>
          <w:sz w:val="21"/>
        </w:rPr>
        <w:t xml:space="preserve"> by which the Performance Threshold must be achieved; the condition is a continuing one and the Trigger Event occurs as and when the Performance Threshold is first satisfied.</w:t>
      </w:r>
    </w:p>
    <w:p>
      <w:pPr>
        <w:spacing w:after="120"/>
        <w:ind w:left="792" w:hanging="792"/>
        <w:jc w:val="both"/>
      </w:pPr>
      <w:r>
        <w:rPr>
          <w:rFonts w:ascii="Georgia" w:hAnsi="Georgia"/>
          <w:b/>
          <w:i w:val="0"/>
          <w:color w:val="0E2A47"/>
          <w:sz w:val="21"/>
        </w:rPr>
        <w:t>3.4</w:t>
      </w:r>
      <w:r>
        <w:rPr>
          <w:rFonts w:ascii="Georgia" w:hAnsi="Georgia"/>
          <w:b w:val="0"/>
          <w:i w:val="0"/>
          <w:color w:val="1A1A1A"/>
          <w:sz w:val="21"/>
        </w:rPr>
        <w:tab/>
      </w:r>
      <w:r>
        <w:rPr>
          <w:rFonts w:ascii="Georgia" w:hAnsi="Georgia"/>
          <w:b w:val="0"/>
          <w:i w:val="0"/>
          <w:color w:val="1A1A1A"/>
          <w:sz w:val="21"/>
        </w:rPr>
        <w:t>The Trigger Event shall be evidenced by management accounts of the Company certified by the Company’s accountant or auditor confirming that the Performance Threshold has been met (the “</w:t>
      </w:r>
      <w:r>
        <w:rPr>
          <w:rFonts w:ascii="Georgia" w:hAnsi="Georgia"/>
          <w:b/>
          <w:i w:val="0"/>
          <w:color w:val="1A1A1A"/>
          <w:sz w:val="21"/>
        </w:rPr>
        <w:t>Threshold Certificate</w:t>
      </w:r>
      <w:r>
        <w:rPr>
          <w:rFonts w:ascii="Georgia" w:hAnsi="Georgia"/>
          <w:b w:val="0"/>
          <w:i w:val="0"/>
          <w:color w:val="1A1A1A"/>
          <w:sz w:val="21"/>
        </w:rPr>
        <w:t>”). The Transferor (acting by the Founder) shall be entitled, but not obliged, to require independent verification of the Threshold Certificate at the Company’s cost before acting upon it.</w:t>
      </w:r>
    </w:p>
    <w:p>
      <w:pPr>
        <w:spacing w:after="120"/>
        <w:ind w:left="792" w:hanging="792"/>
        <w:jc w:val="both"/>
      </w:pPr>
      <w:r>
        <w:rPr>
          <w:rFonts w:ascii="Georgia" w:hAnsi="Georgia"/>
          <w:b/>
          <w:i w:val="0"/>
          <w:color w:val="0E2A47"/>
          <w:sz w:val="21"/>
        </w:rPr>
        <w:t>3.5</w:t>
      </w:r>
      <w:r>
        <w:rPr>
          <w:rFonts w:ascii="Georgia" w:hAnsi="Georgia"/>
          <w:b w:val="0"/>
          <w:i w:val="0"/>
          <w:color w:val="1A1A1A"/>
          <w:sz w:val="21"/>
        </w:rPr>
        <w:tab/>
      </w:r>
      <w:r>
        <w:rPr>
          <w:rFonts w:ascii="Georgia" w:hAnsi="Georgia"/>
          <w:b w:val="0"/>
          <w:i w:val="0"/>
          <w:color w:val="1A1A1A"/>
          <w:sz w:val="21"/>
        </w:rPr>
        <w:t>For the avoidance of doubt, the achievement of the Performance Threshold is a condition to the Transferor’s obligation to transfer; it does not, of itself, effect any transfer, which remains subject to the Founder’s rights under Clause 5 and to Completion under Clause 6.</w:t>
      </w:r>
    </w:p>
    <w:p>
      <w:pPr>
        <w:keepNext/>
        <w:spacing w:before="280" w:after="80"/>
      </w:pPr>
      <w:r>
        <w:rPr>
          <w:rFonts w:ascii="Calibri" w:hAnsi="Calibri"/>
          <w:b/>
          <w:i w:val="0"/>
          <w:color w:val="0E2A47"/>
          <w:sz w:val="23"/>
        </w:rPr>
        <w:t>4.</w:t>
      </w:r>
      <w:r>
        <w:rPr>
          <w:rFonts w:ascii="Calibri" w:hAnsi="Calibri"/>
          <w:b/>
          <w:i w:val="0"/>
          <w:color w:val="0E2A47"/>
          <w:sz w:val="23"/>
        </w:rPr>
        <w:t xml:space="preserve">   </w:t>
      </w:r>
      <w:r>
        <w:rPr>
          <w:rFonts w:ascii="Calibri" w:hAnsi="Calibri"/>
          <w:b/>
          <w:i w:val="0"/>
          <w:color w:val="0E2A47"/>
          <w:sz w:val="23"/>
        </w:rPr>
        <w:t>ALLOCATION OF THE TRANSFER SHARES BETWEEN THE TRANSFEREES</w:t>
      </w:r>
    </w:p>
    <w:p>
      <w:pPr>
        <w:spacing w:after="120"/>
        <w:ind w:left="792" w:hanging="792"/>
        <w:jc w:val="both"/>
      </w:pPr>
      <w:r>
        <w:rPr>
          <w:rFonts w:ascii="Georgia" w:hAnsi="Georgia"/>
          <w:b/>
          <w:i w:val="0"/>
          <w:color w:val="0E2A47"/>
          <w:sz w:val="21"/>
        </w:rPr>
        <w:t>4.1</w:t>
      </w:r>
      <w:r>
        <w:rPr>
          <w:rFonts w:ascii="Georgia" w:hAnsi="Georgia"/>
          <w:b w:val="0"/>
          <w:i w:val="0"/>
          <w:color w:val="1A1A1A"/>
          <w:sz w:val="21"/>
        </w:rPr>
        <w:tab/>
      </w:r>
      <w:r>
        <w:rPr>
          <w:rFonts w:ascii="Georgia" w:hAnsi="Georgia"/>
          <w:b w:val="0"/>
          <w:i w:val="0"/>
          <w:color w:val="1A1A1A"/>
          <w:sz w:val="21"/>
        </w:rPr>
        <w:t xml:space="preserve">The 21% Transfer Shares shall be allocated between the Transferees </w:t>
      </w:r>
      <w:r>
        <w:rPr>
          <w:rFonts w:ascii="Georgia" w:hAnsi="Georgia"/>
          <w:b/>
          <w:i w:val="0"/>
          <w:color w:val="1A1A1A"/>
          <w:sz w:val="21"/>
        </w:rPr>
        <w:t>according to their respective performance</w:t>
      </w:r>
      <w:r>
        <w:rPr>
          <w:rFonts w:ascii="Georgia" w:hAnsi="Georgia"/>
          <w:b w:val="0"/>
          <w:i w:val="0"/>
          <w:color w:val="1A1A1A"/>
          <w:sz w:val="21"/>
        </w:rPr>
        <w:t xml:space="preserve"> and contribution to the achievement of the Performance Threshold and to the growth of the Company’s business.</w:t>
      </w:r>
    </w:p>
    <w:p>
      <w:pPr>
        <w:spacing w:after="120"/>
        <w:ind w:left="792" w:hanging="792"/>
        <w:jc w:val="both"/>
      </w:pPr>
      <w:r>
        <w:rPr>
          <w:rFonts w:ascii="Georgia" w:hAnsi="Georgia"/>
          <w:b/>
          <w:i w:val="0"/>
          <w:color w:val="0E2A47"/>
          <w:sz w:val="21"/>
        </w:rPr>
        <w:t>4.2</w:t>
      </w:r>
      <w:r>
        <w:rPr>
          <w:rFonts w:ascii="Georgia" w:hAnsi="Georgia"/>
          <w:b w:val="0"/>
          <w:i w:val="0"/>
          <w:color w:val="1A1A1A"/>
          <w:sz w:val="21"/>
        </w:rPr>
        <w:tab/>
      </w:r>
      <w:r>
        <w:rPr>
          <w:rFonts w:ascii="Georgia" w:hAnsi="Georgia"/>
          <w:b w:val="0"/>
          <w:i w:val="0"/>
          <w:color w:val="1A1A1A"/>
          <w:sz w:val="21"/>
        </w:rPr>
        <w:t xml:space="preserve">The determination of the respective percentages allocated to each Transferee shall be made by the </w:t>
      </w:r>
      <w:r>
        <w:rPr>
          <w:rFonts w:ascii="Georgia" w:hAnsi="Georgia"/>
          <w:b/>
          <w:i w:val="0"/>
          <w:color w:val="1A1A1A"/>
          <w:sz w:val="21"/>
        </w:rPr>
        <w:t>Founder in the Founder’s absolute and sole discretion</w:t>
      </w:r>
      <w:r>
        <w:rPr>
          <w:rFonts w:ascii="Georgia" w:hAnsi="Georgia"/>
          <w:b w:val="0"/>
          <w:i w:val="0"/>
          <w:color w:val="1A1A1A"/>
          <w:sz w:val="21"/>
        </w:rPr>
        <w:t xml:space="preserve">, and shall be recorded in the Allocation Notice issued substantially in the form of </w:t>
      </w:r>
      <w:r>
        <w:rPr>
          <w:rFonts w:ascii="Georgia" w:hAnsi="Georgia"/>
          <w:b/>
          <w:i w:val="0"/>
          <w:color w:val="1A1A1A"/>
          <w:sz w:val="21"/>
        </w:rPr>
        <w:t>Schedule 3</w:t>
      </w:r>
      <w:r>
        <w:rPr>
          <w:rFonts w:ascii="Georgia" w:hAnsi="Georgia"/>
          <w:b w:val="0"/>
          <w:i w:val="0"/>
          <w:color w:val="1A1A1A"/>
          <w:sz w:val="21"/>
        </w:rPr>
        <w:t>. The aggregate of the percentages so allocated shall equal, but shall not exceed, 21%.</w:t>
      </w:r>
    </w:p>
    <w:p>
      <w:pPr>
        <w:spacing w:after="120"/>
        <w:ind w:left="792" w:hanging="792"/>
        <w:jc w:val="both"/>
      </w:pPr>
      <w:r>
        <w:rPr>
          <w:rFonts w:ascii="Georgia" w:hAnsi="Georgia"/>
          <w:b/>
          <w:i w:val="0"/>
          <w:color w:val="0E2A47"/>
          <w:sz w:val="21"/>
        </w:rPr>
        <w:t>4.3</w:t>
      </w:r>
      <w:r>
        <w:rPr>
          <w:rFonts w:ascii="Georgia" w:hAnsi="Georgia"/>
          <w:b w:val="0"/>
          <w:i w:val="0"/>
          <w:color w:val="1A1A1A"/>
          <w:sz w:val="21"/>
        </w:rPr>
        <w:tab/>
      </w:r>
      <w:r>
        <w:rPr>
          <w:rFonts w:ascii="Georgia" w:hAnsi="Georgia"/>
          <w:b w:val="0"/>
          <w:i w:val="0"/>
          <w:color w:val="1A1A1A"/>
          <w:sz w:val="21"/>
        </w:rPr>
        <w:t xml:space="preserve">The Founder’s determination in the Allocation Notice shall, save in the case of manifest error or fraud, be </w:t>
      </w:r>
      <w:r>
        <w:rPr>
          <w:rFonts w:ascii="Georgia" w:hAnsi="Georgia"/>
          <w:b/>
          <w:i w:val="0"/>
          <w:color w:val="1A1A1A"/>
          <w:sz w:val="21"/>
        </w:rPr>
        <w:t>final and binding</w:t>
      </w:r>
      <w:r>
        <w:rPr>
          <w:rFonts w:ascii="Georgia" w:hAnsi="Georgia"/>
          <w:b w:val="0"/>
          <w:i w:val="0"/>
          <w:color w:val="1A1A1A"/>
          <w:sz w:val="21"/>
        </w:rPr>
        <w:t xml:space="preserve"> on the Company and the Transferees, who irrevocably agree to accept and give effect to it.</w:t>
      </w:r>
    </w:p>
    <w:p>
      <w:pPr>
        <w:spacing w:after="120"/>
        <w:ind w:left="792" w:hanging="792"/>
        <w:jc w:val="both"/>
      </w:pPr>
      <w:r>
        <w:rPr>
          <w:rFonts w:ascii="Georgia" w:hAnsi="Georgia"/>
          <w:b/>
          <w:i w:val="0"/>
          <w:color w:val="0E2A47"/>
          <w:sz w:val="21"/>
        </w:rPr>
        <w:t>4.4</w:t>
      </w:r>
      <w:r>
        <w:rPr>
          <w:rFonts w:ascii="Georgia" w:hAnsi="Georgia"/>
          <w:b w:val="0"/>
          <w:i w:val="0"/>
          <w:color w:val="1A1A1A"/>
          <w:sz w:val="21"/>
        </w:rPr>
        <w:tab/>
      </w:r>
      <w:r>
        <w:rPr>
          <w:rFonts w:ascii="Georgia" w:hAnsi="Georgia"/>
          <w:b w:val="0"/>
          <w:i w:val="0"/>
          <w:color w:val="1A1A1A"/>
          <w:sz w:val="21"/>
        </w:rPr>
        <w:t xml:space="preserve">By way of illustration only and without binding the Founder, examples of possible resulting shareholding outcomes are set out in </w:t>
      </w:r>
      <w:r>
        <w:rPr>
          <w:rFonts w:ascii="Georgia" w:hAnsi="Georgia"/>
          <w:b/>
          <w:i w:val="0"/>
          <w:color w:val="1A1A1A"/>
          <w:sz w:val="21"/>
        </w:rPr>
        <w:t>Schedule 4</w:t>
      </w:r>
      <w:r>
        <w:rPr>
          <w:rFonts w:ascii="Georgia" w:hAnsi="Georgia"/>
          <w:b w:val="0"/>
          <w:i w:val="0"/>
          <w:color w:val="1A1A1A"/>
          <w:sz w:val="21"/>
        </w:rPr>
        <w:t>. Nothing in Schedule 4 fetters the Founder’s discretion under this Clause 4.</w:t>
      </w:r>
    </w:p>
    <w:p>
      <w:pPr>
        <w:keepNext/>
        <w:spacing w:before="280" w:after="80"/>
      </w:pPr>
      <w:r>
        <w:rPr>
          <w:rFonts w:ascii="Calibri" w:hAnsi="Calibri"/>
          <w:b/>
          <w:i w:val="0"/>
          <w:color w:val="0E2A47"/>
          <w:sz w:val="23"/>
        </w:rPr>
        <w:t>5.</w:t>
      </w:r>
      <w:r>
        <w:rPr>
          <w:rFonts w:ascii="Calibri" w:hAnsi="Calibri"/>
          <w:b/>
          <w:i w:val="0"/>
          <w:color w:val="0E2A47"/>
          <w:sz w:val="23"/>
        </w:rPr>
        <w:t xml:space="preserve">   </w:t>
      </w:r>
      <w:r>
        <w:rPr>
          <w:rFonts w:ascii="Calibri" w:hAnsi="Calibri"/>
          <w:b/>
          <w:i w:val="0"/>
          <w:color w:val="0E2A47"/>
          <w:sz w:val="23"/>
        </w:rPr>
        <w:t>FOUNDER’S ABSOLUTE RIGHTS AND DISCRETION</w:t>
      </w:r>
    </w:p>
    <w:p>
      <w:pPr>
        <w:spacing w:after="120"/>
        <w:ind w:left="792" w:hanging="792"/>
        <w:jc w:val="both"/>
      </w:pPr>
      <w:r>
        <w:rPr>
          <w:rFonts w:ascii="Georgia" w:hAnsi="Georgia"/>
          <w:b/>
          <w:i w:val="0"/>
          <w:color w:val="0E2A47"/>
          <w:sz w:val="21"/>
        </w:rPr>
        <w:t>5.1</w:t>
      </w:r>
      <w:r>
        <w:rPr>
          <w:rFonts w:ascii="Georgia" w:hAnsi="Georgia"/>
          <w:b w:val="0"/>
          <w:i w:val="0"/>
          <w:color w:val="1A1A1A"/>
          <w:sz w:val="21"/>
        </w:rPr>
        <w:tab/>
      </w:r>
      <w:r>
        <w:rPr>
          <w:rFonts w:ascii="Georgia" w:hAnsi="Georgia"/>
          <w:b w:val="0"/>
          <w:i w:val="0"/>
          <w:color w:val="1A1A1A"/>
          <w:sz w:val="21"/>
        </w:rPr>
        <w:t xml:space="preserve">The Parties expressly acknowledge and agree that the right to trigger, effect, structure, time, allocate, defer or decline the transfer of the Transfer Shares is vested in the Founder of the Transferor and is exercisable in the Founder’s </w:t>
      </w:r>
      <w:r>
        <w:rPr>
          <w:rFonts w:ascii="Georgia" w:hAnsi="Georgia"/>
          <w:b/>
          <w:i w:val="0"/>
          <w:color w:val="1A1A1A"/>
          <w:sz w:val="21"/>
        </w:rPr>
        <w:t>absolute and sole discretion</w:t>
      </w:r>
      <w:r>
        <w:rPr>
          <w:rFonts w:ascii="Georgia" w:hAnsi="Georgia"/>
          <w:b w:val="0"/>
          <w:i w:val="0"/>
          <w:color w:val="1A1A1A"/>
          <w:sz w:val="21"/>
        </w:rPr>
        <w:t>.</w:t>
      </w:r>
    </w:p>
    <w:p>
      <w:pPr>
        <w:spacing w:after="120"/>
        <w:ind w:left="792" w:hanging="792"/>
        <w:jc w:val="both"/>
      </w:pPr>
      <w:r>
        <w:rPr>
          <w:rFonts w:ascii="Georgia" w:hAnsi="Georgia"/>
          <w:b/>
          <w:i w:val="0"/>
          <w:color w:val="0E2A47"/>
          <w:sz w:val="21"/>
        </w:rPr>
        <w:t>5.2</w:t>
      </w:r>
      <w:r>
        <w:rPr>
          <w:rFonts w:ascii="Georgia" w:hAnsi="Georgia"/>
          <w:b w:val="0"/>
          <w:i w:val="0"/>
          <w:color w:val="1A1A1A"/>
          <w:sz w:val="21"/>
        </w:rPr>
        <w:tab/>
      </w:r>
      <w:r>
        <w:rPr>
          <w:rFonts w:ascii="Georgia" w:hAnsi="Georgia"/>
          <w:b w:val="0"/>
          <w:i w:val="0"/>
          <w:color w:val="1A1A1A"/>
          <w:sz w:val="21"/>
        </w:rPr>
        <w:t>Without limiting Clause 5.1, the Founder shall have the absolute right to determine: (a) whether and when the Trigger Event has been satisfied; (b) the respective allocation of the Transfer Shares between the Transferees; (c) whether any conditions of good standing, continued involvement or conduct of a Transferee have been met; and (d) the timing of Completion.</w:t>
      </w:r>
    </w:p>
    <w:p>
      <w:pPr>
        <w:spacing w:after="120"/>
        <w:ind w:left="792" w:hanging="792"/>
        <w:jc w:val="both"/>
      </w:pPr>
      <w:r>
        <w:rPr>
          <w:rFonts w:ascii="Georgia" w:hAnsi="Georgia"/>
          <w:b/>
          <w:i w:val="0"/>
          <w:color w:val="0E2A47"/>
          <w:sz w:val="21"/>
        </w:rPr>
        <w:t>5.3</w:t>
      </w:r>
      <w:r>
        <w:rPr>
          <w:rFonts w:ascii="Georgia" w:hAnsi="Georgia"/>
          <w:b w:val="0"/>
          <w:i w:val="0"/>
          <w:color w:val="1A1A1A"/>
          <w:sz w:val="21"/>
        </w:rPr>
        <w:tab/>
      </w:r>
      <w:r>
        <w:rPr>
          <w:rFonts w:ascii="Georgia" w:hAnsi="Georgia"/>
          <w:b w:val="0"/>
          <w:i w:val="0"/>
          <w:color w:val="1A1A1A"/>
          <w:sz w:val="21"/>
        </w:rPr>
        <w:t>The exercise (or non-exercise) by the Founder of any discretion under this Agreement shall not give rise to any claim, liability or cause of action against the Founder or the Transferor, provided such discretion is exercised in good faith and not fraudulently.</w:t>
      </w:r>
    </w:p>
    <w:p>
      <w:pPr>
        <w:spacing w:after="120"/>
        <w:ind w:left="792" w:hanging="792"/>
        <w:jc w:val="both"/>
      </w:pPr>
      <w:r>
        <w:rPr>
          <w:rFonts w:ascii="Georgia" w:hAnsi="Georgia"/>
          <w:b/>
          <w:i w:val="0"/>
          <w:color w:val="0E2A47"/>
          <w:sz w:val="21"/>
        </w:rPr>
        <w:t>5.4</w:t>
      </w:r>
      <w:r>
        <w:rPr>
          <w:rFonts w:ascii="Georgia" w:hAnsi="Georgia"/>
          <w:b w:val="0"/>
          <w:i w:val="0"/>
          <w:color w:val="1A1A1A"/>
          <w:sz w:val="21"/>
        </w:rPr>
        <w:tab/>
      </w:r>
      <w:r>
        <w:rPr>
          <w:rFonts w:ascii="Georgia" w:hAnsi="Georgia"/>
          <w:b w:val="0"/>
          <w:i w:val="0"/>
          <w:color w:val="1A1A1A"/>
          <w:sz w:val="21"/>
        </w:rPr>
        <w:t>The rights reserved to the Founder under this Clause 5 are in addition to, and not in substitution for, any rights of the Transferor as a shareholder under the Company’s MOA or Applicable Law.</w:t>
      </w:r>
    </w:p>
    <w:p>
      <w:pPr>
        <w:keepNext/>
        <w:spacing w:before="280" w:after="80"/>
      </w:pPr>
      <w:r>
        <w:rPr>
          <w:rFonts w:ascii="Calibri" w:hAnsi="Calibri"/>
          <w:b/>
          <w:i w:val="0"/>
          <w:color w:val="0E2A47"/>
          <w:sz w:val="23"/>
        </w:rPr>
        <w:t>6.</w:t>
      </w:r>
      <w:r>
        <w:rPr>
          <w:rFonts w:ascii="Calibri" w:hAnsi="Calibri"/>
          <w:b/>
          <w:i w:val="0"/>
          <w:color w:val="0E2A47"/>
          <w:sz w:val="23"/>
        </w:rPr>
        <w:t xml:space="preserve">   </w:t>
      </w:r>
      <w:r>
        <w:rPr>
          <w:rFonts w:ascii="Calibri" w:hAnsi="Calibri"/>
          <w:b/>
          <w:i w:val="0"/>
          <w:color w:val="0E2A47"/>
          <w:sz w:val="23"/>
        </w:rPr>
        <w:t>COMPLETION, NOTARISATION AND REGISTRATION</w:t>
      </w:r>
    </w:p>
    <w:p>
      <w:pPr>
        <w:spacing w:after="120"/>
        <w:ind w:left="792" w:hanging="792"/>
        <w:jc w:val="both"/>
      </w:pPr>
      <w:r>
        <w:rPr>
          <w:rFonts w:ascii="Georgia" w:hAnsi="Georgia"/>
          <w:b/>
          <w:i w:val="0"/>
          <w:color w:val="0E2A47"/>
          <w:sz w:val="21"/>
        </w:rPr>
        <w:t>6.1</w:t>
      </w:r>
      <w:r>
        <w:rPr>
          <w:rFonts w:ascii="Georgia" w:hAnsi="Georgia"/>
          <w:b w:val="0"/>
          <w:i w:val="0"/>
          <w:color w:val="1A1A1A"/>
          <w:sz w:val="21"/>
        </w:rPr>
        <w:tab/>
      </w:r>
      <w:r>
        <w:rPr>
          <w:rFonts w:ascii="Georgia" w:hAnsi="Georgia"/>
          <w:b w:val="0"/>
          <w:i w:val="0"/>
          <w:color w:val="1A1A1A"/>
          <w:sz w:val="21"/>
        </w:rPr>
        <w:t>Within 30 (thirty) business days following the later of (a) the occurrence of the Trigger Event and (b) the issuance of the Allocation Notice, the Parties shall complete the transfer of the Transfer Shares (“Completion”).</w:t>
      </w:r>
    </w:p>
    <w:p>
      <w:pPr>
        <w:spacing w:after="120"/>
        <w:ind w:left="792" w:hanging="792"/>
        <w:jc w:val="both"/>
      </w:pPr>
      <w:r>
        <w:rPr>
          <w:rFonts w:ascii="Georgia" w:hAnsi="Georgia"/>
          <w:b/>
          <w:i w:val="0"/>
          <w:color w:val="0E2A47"/>
          <w:sz w:val="21"/>
        </w:rPr>
        <w:t>6.2</w:t>
      </w:r>
      <w:r>
        <w:rPr>
          <w:rFonts w:ascii="Georgia" w:hAnsi="Georgia"/>
          <w:b w:val="0"/>
          <w:i w:val="0"/>
          <w:color w:val="1A1A1A"/>
          <w:sz w:val="21"/>
        </w:rPr>
        <w:tab/>
      </w:r>
      <w:r>
        <w:rPr>
          <w:rFonts w:ascii="Georgia" w:hAnsi="Georgia"/>
          <w:b w:val="0"/>
          <w:i w:val="0"/>
          <w:color w:val="1A1A1A"/>
          <w:sz w:val="21"/>
        </w:rPr>
        <w:t xml:space="preserve">At Completion, the Parties shall do all such acts and execute all such documents as are necessary under Applicable Law to give effect to the transfer, including: (a) executing an addendum to the Company’s Memorandum of Association reflecting the revised shareholding; (b) attending before a </w:t>
      </w:r>
      <w:r>
        <w:rPr>
          <w:rFonts w:ascii="Georgia" w:hAnsi="Georgia"/>
          <w:b/>
          <w:i w:val="0"/>
          <w:color w:val="1A1A1A"/>
          <w:sz w:val="21"/>
        </w:rPr>
        <w:t>Notary Public in Dubai</w:t>
      </w:r>
      <w:r>
        <w:rPr>
          <w:rFonts w:ascii="Georgia" w:hAnsi="Georgia"/>
          <w:b w:val="0"/>
          <w:i w:val="0"/>
          <w:color w:val="1A1A1A"/>
          <w:sz w:val="21"/>
        </w:rPr>
        <w:t xml:space="preserve"> to notarise the share transfer and the MOA addendum; (c) procuring the issuance of an amended trade licence and the registration of the revised shareholding with the </w:t>
      </w:r>
      <w:r>
        <w:rPr>
          <w:rFonts w:ascii="Georgia" w:hAnsi="Georgia"/>
          <w:b/>
          <w:i w:val="0"/>
          <w:color w:val="1A1A1A"/>
          <w:sz w:val="21"/>
        </w:rPr>
        <w:t>DET</w:t>
      </w:r>
      <w:r>
        <w:rPr>
          <w:rFonts w:ascii="Georgia" w:hAnsi="Georgia"/>
          <w:b w:val="0"/>
          <w:i w:val="0"/>
          <w:color w:val="1A1A1A"/>
          <w:sz w:val="21"/>
        </w:rPr>
        <w:t>; and (d) updating the Company’s register of shareholders.</w:t>
      </w:r>
    </w:p>
    <w:p>
      <w:pPr>
        <w:spacing w:after="120"/>
        <w:ind w:left="792" w:hanging="792"/>
        <w:jc w:val="both"/>
      </w:pPr>
      <w:r>
        <w:rPr>
          <w:rFonts w:ascii="Georgia" w:hAnsi="Georgia"/>
          <w:b/>
          <w:i w:val="0"/>
          <w:color w:val="0E2A47"/>
          <w:sz w:val="21"/>
        </w:rPr>
        <w:t>6.3</w:t>
      </w:r>
      <w:r>
        <w:rPr>
          <w:rFonts w:ascii="Georgia" w:hAnsi="Georgia"/>
          <w:b w:val="0"/>
          <w:i w:val="0"/>
          <w:color w:val="1A1A1A"/>
          <w:sz w:val="21"/>
        </w:rPr>
        <w:tab/>
      </w:r>
      <w:r>
        <w:rPr>
          <w:rFonts w:ascii="Georgia" w:hAnsi="Georgia"/>
          <w:b w:val="0"/>
          <w:i w:val="0"/>
          <w:color w:val="1A1A1A"/>
          <w:sz w:val="21"/>
        </w:rPr>
        <w:t>The Company and each shareholder shall provide all consents, approvals, board and shareholder resolutions, powers of attorney and signatures reasonably required to effect Completion, and irrevocably undertake not to obstruct or delay Completion once the conditions in Clause 6.1 are satisfied.</w:t>
      </w:r>
    </w:p>
    <w:p>
      <w:pPr>
        <w:spacing w:after="120"/>
        <w:ind w:left="792" w:hanging="792"/>
        <w:jc w:val="both"/>
      </w:pPr>
      <w:r>
        <w:rPr>
          <w:rFonts w:ascii="Georgia" w:hAnsi="Georgia"/>
          <w:b/>
          <w:i w:val="0"/>
          <w:color w:val="0E2A47"/>
          <w:sz w:val="21"/>
        </w:rPr>
        <w:t>6.4</w:t>
      </w:r>
      <w:r>
        <w:rPr>
          <w:rFonts w:ascii="Georgia" w:hAnsi="Georgia"/>
          <w:b w:val="0"/>
          <w:i w:val="0"/>
          <w:color w:val="1A1A1A"/>
          <w:sz w:val="21"/>
        </w:rPr>
        <w:tab/>
      </w:r>
      <w:r>
        <w:rPr>
          <w:rFonts w:ascii="Georgia" w:hAnsi="Georgia"/>
          <w:b w:val="0"/>
          <w:i w:val="0"/>
          <w:color w:val="1A1A1A"/>
          <w:sz w:val="21"/>
        </w:rPr>
        <w:t>If any governmental, regulatory or DET approval is required for the transfer, the Parties shall co-operate in good faith to obtain it as soon as reasonably practicable.</w:t>
      </w:r>
    </w:p>
    <w:p>
      <w:pPr>
        <w:keepNext/>
        <w:spacing w:before="280" w:after="80"/>
      </w:pPr>
      <w:r>
        <w:rPr>
          <w:rFonts w:ascii="Calibri" w:hAnsi="Calibri"/>
          <w:b/>
          <w:i w:val="0"/>
          <w:color w:val="0E2A47"/>
          <w:sz w:val="23"/>
        </w:rPr>
        <w:t>7.</w:t>
      </w:r>
      <w:r>
        <w:rPr>
          <w:rFonts w:ascii="Calibri" w:hAnsi="Calibri"/>
          <w:b/>
          <w:i w:val="0"/>
          <w:color w:val="0E2A47"/>
          <w:sz w:val="23"/>
        </w:rPr>
        <w:t xml:space="preserve">   </w:t>
      </w:r>
      <w:r>
        <w:rPr>
          <w:rFonts w:ascii="Calibri" w:hAnsi="Calibri"/>
          <w:b/>
          <w:i w:val="0"/>
          <w:color w:val="0E2A47"/>
          <w:sz w:val="23"/>
        </w:rPr>
        <w:t>CONSIDERATION</w:t>
      </w:r>
    </w:p>
    <w:p>
      <w:pPr>
        <w:spacing w:after="120"/>
        <w:ind w:left="792" w:hanging="792"/>
        <w:jc w:val="both"/>
      </w:pPr>
      <w:r>
        <w:rPr>
          <w:rFonts w:ascii="Georgia" w:hAnsi="Georgia"/>
          <w:b/>
          <w:i w:val="0"/>
          <w:color w:val="0E2A47"/>
          <w:sz w:val="21"/>
        </w:rPr>
        <w:t>7.1</w:t>
      </w:r>
      <w:r>
        <w:rPr>
          <w:rFonts w:ascii="Georgia" w:hAnsi="Georgia"/>
          <w:b w:val="0"/>
          <w:i w:val="0"/>
          <w:color w:val="1A1A1A"/>
          <w:sz w:val="21"/>
        </w:rPr>
        <w:tab/>
      </w:r>
      <w:r>
        <w:rPr>
          <w:rFonts w:ascii="Georgia" w:hAnsi="Georgia"/>
          <w:b w:val="0"/>
          <w:i w:val="0"/>
          <w:color w:val="1A1A1A"/>
          <w:sz w:val="21"/>
        </w:rPr>
        <w:t xml:space="preserve">In consideration of the achievement of the Performance Threshold and the past and continuing performance and services of the Transferees, the Transfer Shares shall be transferred to the Transferees for an </w:t>
      </w:r>
      <w:r>
        <w:rPr>
          <w:rFonts w:ascii="Georgia" w:hAnsi="Georgia"/>
          <w:b/>
          <w:i w:val="0"/>
          <w:color w:val="1A1A1A"/>
          <w:sz w:val="21"/>
        </w:rPr>
        <w:t>aggregate nominal consideration of AED 1.00 (one UAE Dirham)</w:t>
      </w:r>
      <w:r>
        <w:rPr>
          <w:rFonts w:ascii="Georgia" w:hAnsi="Georgia"/>
          <w:b w:val="0"/>
          <w:i w:val="0"/>
          <w:color w:val="1A1A1A"/>
          <w:sz w:val="21"/>
        </w:rPr>
        <w:t xml:space="preserve"> (or such nominal/par amount as the Notary Public may require to be stated), the receipt and adequacy of which the Transferor acknowledges.</w:t>
      </w:r>
    </w:p>
    <w:p>
      <w:pPr>
        <w:spacing w:after="120"/>
        <w:ind w:left="792" w:hanging="792"/>
        <w:jc w:val="both"/>
      </w:pPr>
      <w:r>
        <w:rPr>
          <w:rFonts w:ascii="Georgia" w:hAnsi="Georgia"/>
          <w:b/>
          <w:i w:val="0"/>
          <w:color w:val="0E2A47"/>
          <w:sz w:val="21"/>
        </w:rPr>
        <w:t>7.2</w:t>
      </w:r>
      <w:r>
        <w:rPr>
          <w:rFonts w:ascii="Georgia" w:hAnsi="Georgia"/>
          <w:b w:val="0"/>
          <w:i w:val="0"/>
          <w:color w:val="1A1A1A"/>
          <w:sz w:val="21"/>
        </w:rPr>
        <w:tab/>
      </w:r>
      <w:r>
        <w:rPr>
          <w:rFonts w:ascii="Georgia" w:hAnsi="Georgia"/>
          <w:b w:val="0"/>
          <w:i w:val="0"/>
          <w:color w:val="1A1A1A"/>
          <w:sz w:val="21"/>
        </w:rPr>
        <w:t xml:space="preserve">The Parties confirm that the transfer is by way of a </w:t>
      </w:r>
      <w:r>
        <w:rPr>
          <w:rFonts w:ascii="Georgia" w:hAnsi="Georgia"/>
          <w:b/>
          <w:i w:val="0"/>
          <w:color w:val="1A1A1A"/>
          <w:sz w:val="21"/>
        </w:rPr>
        <w:t>performance reward and incentive</w:t>
      </w:r>
      <w:r>
        <w:rPr>
          <w:rFonts w:ascii="Georgia" w:hAnsi="Georgia"/>
          <w:b w:val="0"/>
          <w:i w:val="0"/>
          <w:color w:val="1A1A1A"/>
          <w:sz w:val="21"/>
        </w:rPr>
        <w:t xml:space="preserve"> and is not a sale at market value. Each Party shall bear its own tax position arising from the transfer and shall be responsible for obtaining its own independent tax advice (including in relation to UAE Corporate Tax and any applicable VAT).</w:t>
      </w:r>
    </w:p>
    <w:p>
      <w:pPr>
        <w:spacing w:after="120"/>
        <w:ind w:left="792" w:hanging="792"/>
        <w:jc w:val="both"/>
      </w:pPr>
      <w:r>
        <w:rPr>
          <w:rFonts w:ascii="Georgia" w:hAnsi="Georgia"/>
          <w:b/>
          <w:i w:val="0"/>
          <w:color w:val="0E2A47"/>
          <w:sz w:val="21"/>
        </w:rPr>
        <w:t>7.3</w:t>
      </w:r>
      <w:r>
        <w:rPr>
          <w:rFonts w:ascii="Georgia" w:hAnsi="Georgia"/>
          <w:b w:val="0"/>
          <w:i w:val="0"/>
          <w:color w:val="1A1A1A"/>
          <w:sz w:val="21"/>
        </w:rPr>
        <w:tab/>
      </w:r>
      <w:r>
        <w:rPr>
          <w:rFonts w:ascii="Georgia" w:hAnsi="Georgia"/>
          <w:b w:val="0"/>
          <w:i w:val="0"/>
          <w:color w:val="1A1A1A"/>
          <w:sz w:val="21"/>
        </w:rPr>
        <w:t>Nothing in this Clause 7 limits the Founder’s discretion under Clause 5 or obliges the Transferor to transfer the Transfer Shares otherwise than in accordance with this Agreement.</w:t>
      </w:r>
    </w:p>
    <w:p>
      <w:pPr>
        <w:keepNext/>
        <w:spacing w:before="280" w:after="80"/>
      </w:pPr>
      <w:r>
        <w:rPr>
          <w:rFonts w:ascii="Calibri" w:hAnsi="Calibri"/>
          <w:b/>
          <w:i w:val="0"/>
          <w:color w:val="0E2A47"/>
          <w:sz w:val="23"/>
        </w:rPr>
        <w:t>8.</w:t>
      </w:r>
      <w:r>
        <w:rPr>
          <w:rFonts w:ascii="Calibri" w:hAnsi="Calibri"/>
          <w:b/>
          <w:i w:val="0"/>
          <w:color w:val="0E2A47"/>
          <w:sz w:val="23"/>
        </w:rPr>
        <w:t xml:space="preserve">   </w:t>
      </w:r>
      <w:r>
        <w:rPr>
          <w:rFonts w:ascii="Calibri" w:hAnsi="Calibri"/>
          <w:b/>
          <w:i w:val="0"/>
          <w:color w:val="0E2A47"/>
          <w:sz w:val="23"/>
        </w:rPr>
        <w:t>WAIVER OF PRE-EMPTION RIGHTS</w:t>
      </w:r>
    </w:p>
    <w:p>
      <w:pPr>
        <w:spacing w:after="120"/>
        <w:ind w:left="792" w:hanging="792"/>
        <w:jc w:val="both"/>
      </w:pPr>
      <w:r>
        <w:rPr>
          <w:rFonts w:ascii="Georgia" w:hAnsi="Georgia"/>
          <w:b/>
          <w:i w:val="0"/>
          <w:color w:val="0E2A47"/>
          <w:sz w:val="21"/>
        </w:rPr>
        <w:t>8.1</w:t>
      </w:r>
      <w:r>
        <w:rPr>
          <w:rFonts w:ascii="Georgia" w:hAnsi="Georgia"/>
          <w:b w:val="0"/>
          <w:i w:val="0"/>
          <w:color w:val="1A1A1A"/>
          <w:sz w:val="21"/>
        </w:rPr>
        <w:tab/>
      </w:r>
      <w:r>
        <w:rPr>
          <w:rFonts w:ascii="Georgia" w:hAnsi="Georgia"/>
          <w:b w:val="0"/>
          <w:i w:val="0"/>
          <w:color w:val="1A1A1A"/>
          <w:sz w:val="21"/>
        </w:rPr>
        <w:t xml:space="preserve">Each shareholder of the Company (including the Transferees) irrevocably and unconditionally </w:t>
      </w:r>
      <w:r>
        <w:rPr>
          <w:rFonts w:ascii="Georgia" w:hAnsi="Georgia"/>
          <w:b/>
          <w:i w:val="0"/>
          <w:color w:val="1A1A1A"/>
          <w:sz w:val="21"/>
        </w:rPr>
        <w:t>waives</w:t>
      </w:r>
      <w:r>
        <w:rPr>
          <w:rFonts w:ascii="Georgia" w:hAnsi="Georgia"/>
          <w:b w:val="0"/>
          <w:i w:val="0"/>
          <w:color w:val="1A1A1A"/>
          <w:sz w:val="21"/>
        </w:rPr>
        <w:t xml:space="preserve"> any right of pre-emption, right of first refusal, tag-along, or similar right (whether arising under the CCL, the Company’s MOA or otherwise) to which it may be entitled in respect of the transfer of the Transfer Shares contemplated by this Agreement, and consents to such transfer.</w:t>
      </w:r>
    </w:p>
    <w:p>
      <w:pPr>
        <w:spacing w:after="120"/>
        <w:ind w:left="792" w:hanging="792"/>
        <w:jc w:val="both"/>
      </w:pPr>
      <w:r>
        <w:rPr>
          <w:rFonts w:ascii="Georgia" w:hAnsi="Georgia"/>
          <w:b/>
          <w:i w:val="0"/>
          <w:color w:val="0E2A47"/>
          <w:sz w:val="21"/>
        </w:rPr>
        <w:t>8.2</w:t>
      </w:r>
      <w:r>
        <w:rPr>
          <w:rFonts w:ascii="Georgia" w:hAnsi="Georgia"/>
          <w:b w:val="0"/>
          <w:i w:val="0"/>
          <w:color w:val="1A1A1A"/>
          <w:sz w:val="21"/>
        </w:rPr>
        <w:tab/>
      </w:r>
      <w:r>
        <w:rPr>
          <w:rFonts w:ascii="Georgia" w:hAnsi="Georgia"/>
          <w:b w:val="0"/>
          <w:i w:val="0"/>
          <w:color w:val="1A1A1A"/>
          <w:sz w:val="21"/>
        </w:rPr>
        <w:t>Each shareholder shall execute such waivers, consents and resolutions as may be required to confirm the foregoing for the purposes of notarisation and DET registration.</w:t>
      </w:r>
    </w:p>
    <w:p>
      <w:pPr>
        <w:keepNext/>
        <w:spacing w:before="280" w:after="80"/>
      </w:pPr>
      <w:r>
        <w:rPr>
          <w:rFonts w:ascii="Calibri" w:hAnsi="Calibri"/>
          <w:b/>
          <w:i w:val="0"/>
          <w:color w:val="0E2A47"/>
          <w:sz w:val="23"/>
        </w:rPr>
        <w:t>9.</w:t>
      </w:r>
      <w:r>
        <w:rPr>
          <w:rFonts w:ascii="Calibri" w:hAnsi="Calibri"/>
          <w:b/>
          <w:i w:val="0"/>
          <w:color w:val="0E2A47"/>
          <w:sz w:val="23"/>
        </w:rPr>
        <w:t xml:space="preserve">   </w:t>
      </w:r>
      <w:r>
        <w:rPr>
          <w:rFonts w:ascii="Calibri" w:hAnsi="Calibri"/>
          <w:b/>
          <w:i w:val="0"/>
          <w:color w:val="0E2A47"/>
          <w:sz w:val="23"/>
        </w:rPr>
        <w:t>REPRESENTATIONS AND WARRANTIES</w:t>
      </w:r>
    </w:p>
    <w:p>
      <w:pPr>
        <w:spacing w:after="120"/>
        <w:ind w:left="792" w:hanging="792"/>
        <w:jc w:val="both"/>
      </w:pPr>
      <w:r>
        <w:rPr>
          <w:rFonts w:ascii="Georgia" w:hAnsi="Georgia"/>
          <w:b/>
          <w:i w:val="0"/>
          <w:color w:val="0E2A47"/>
          <w:sz w:val="21"/>
        </w:rPr>
        <w:t>9.1</w:t>
      </w:r>
      <w:r>
        <w:rPr>
          <w:rFonts w:ascii="Georgia" w:hAnsi="Georgia"/>
          <w:b w:val="0"/>
          <w:i w:val="0"/>
          <w:color w:val="1A1A1A"/>
          <w:sz w:val="21"/>
        </w:rPr>
        <w:tab/>
      </w:r>
      <w:r>
        <w:rPr>
          <w:rFonts w:ascii="Georgia" w:hAnsi="Georgia"/>
          <w:b w:val="0"/>
          <w:i w:val="0"/>
          <w:color w:val="1A1A1A"/>
          <w:sz w:val="21"/>
        </w:rPr>
        <w:t>Each Party represents and warrants to the others that: (a) it has the power and authority (and, where applicable, the requisite corporate authorisations) to enter into and perform this Agreement; (b) this Agreement constitutes its legal, valid and binding obligations; and (c) its entry into this Agreement does not breach any Applicable Law or any agreement binding upon it.</w:t>
      </w:r>
    </w:p>
    <w:p>
      <w:pPr>
        <w:spacing w:after="120"/>
        <w:ind w:left="792" w:hanging="792"/>
        <w:jc w:val="both"/>
      </w:pPr>
      <w:r>
        <w:rPr>
          <w:rFonts w:ascii="Georgia" w:hAnsi="Georgia"/>
          <w:b/>
          <w:i w:val="0"/>
          <w:color w:val="0E2A47"/>
          <w:sz w:val="21"/>
        </w:rPr>
        <w:t>9.2</w:t>
      </w:r>
      <w:r>
        <w:rPr>
          <w:rFonts w:ascii="Georgia" w:hAnsi="Georgia"/>
          <w:b w:val="0"/>
          <w:i w:val="0"/>
          <w:color w:val="1A1A1A"/>
          <w:sz w:val="21"/>
        </w:rPr>
        <w:tab/>
      </w:r>
      <w:r>
        <w:rPr>
          <w:rFonts w:ascii="Georgia" w:hAnsi="Georgia"/>
          <w:b w:val="0"/>
          <w:i w:val="0"/>
          <w:color w:val="1A1A1A"/>
          <w:sz w:val="21"/>
        </w:rPr>
        <w:t>The Transferor further represents and warrants that, as at the Effective Date, it is the legal and beneficial owner of 70% of the issued share capital of the Company, free from Encumbrances, and that the Transfer Shares will at Completion be transferred free from Encumbrances.</w:t>
      </w:r>
    </w:p>
    <w:p>
      <w:pPr>
        <w:spacing w:after="120"/>
        <w:ind w:left="792" w:hanging="792"/>
        <w:jc w:val="both"/>
      </w:pPr>
      <w:r>
        <w:rPr>
          <w:rFonts w:ascii="Georgia" w:hAnsi="Georgia"/>
          <w:b/>
          <w:i w:val="0"/>
          <w:color w:val="0E2A47"/>
          <w:sz w:val="21"/>
        </w:rPr>
        <w:t>9.3</w:t>
      </w:r>
      <w:r>
        <w:rPr>
          <w:rFonts w:ascii="Georgia" w:hAnsi="Georgia"/>
          <w:b w:val="0"/>
          <w:i w:val="0"/>
          <w:color w:val="1A1A1A"/>
          <w:sz w:val="21"/>
        </w:rPr>
        <w:tab/>
      </w:r>
      <w:r>
        <w:rPr>
          <w:rFonts w:ascii="Georgia" w:hAnsi="Georgia"/>
          <w:b w:val="0"/>
          <w:i w:val="0"/>
          <w:color w:val="1A1A1A"/>
          <w:sz w:val="21"/>
        </w:rPr>
        <w:t>Each Transferee acknowledges that, save as expressly set out in this Agreement, no representation, warranty or assurance has been given as to the future profitability or value of the Company or the Transfer Shares.</w:t>
      </w:r>
    </w:p>
    <w:p>
      <w:pPr>
        <w:keepNext/>
        <w:spacing w:before="280" w:after="80"/>
      </w:pPr>
      <w:r>
        <w:rPr>
          <w:rFonts w:ascii="Calibri" w:hAnsi="Calibri"/>
          <w:b/>
          <w:i w:val="0"/>
          <w:color w:val="0E2A47"/>
          <w:sz w:val="23"/>
        </w:rPr>
        <w:t>10.</w:t>
      </w:r>
      <w:r>
        <w:rPr>
          <w:rFonts w:ascii="Calibri" w:hAnsi="Calibri"/>
          <w:b/>
          <w:i w:val="0"/>
          <w:color w:val="0E2A47"/>
          <w:sz w:val="23"/>
        </w:rPr>
        <w:t xml:space="preserve">   </w:t>
      </w:r>
      <w:r>
        <w:rPr>
          <w:rFonts w:ascii="Calibri" w:hAnsi="Calibri"/>
          <w:b/>
          <w:i w:val="0"/>
          <w:color w:val="0E2A47"/>
          <w:sz w:val="23"/>
        </w:rPr>
        <w:t>CONDUCT PENDING COMPLETION</w:t>
      </w:r>
    </w:p>
    <w:p>
      <w:pPr>
        <w:spacing w:after="120"/>
        <w:ind w:left="792" w:hanging="792"/>
        <w:jc w:val="both"/>
      </w:pPr>
      <w:r>
        <w:rPr>
          <w:rFonts w:ascii="Georgia" w:hAnsi="Georgia"/>
          <w:b/>
          <w:i w:val="0"/>
          <w:color w:val="0E2A47"/>
          <w:sz w:val="21"/>
        </w:rPr>
        <w:t>10.1</w:t>
      </w:r>
      <w:r>
        <w:rPr>
          <w:rFonts w:ascii="Georgia" w:hAnsi="Georgia"/>
          <w:b w:val="0"/>
          <w:i w:val="0"/>
          <w:color w:val="1A1A1A"/>
          <w:sz w:val="21"/>
        </w:rPr>
        <w:tab/>
      </w:r>
      <w:r>
        <w:rPr>
          <w:rFonts w:ascii="Georgia" w:hAnsi="Georgia"/>
          <w:b w:val="0"/>
          <w:i w:val="0"/>
          <w:color w:val="1A1A1A"/>
          <w:sz w:val="21"/>
        </w:rPr>
        <w:t>From the Effective Date until Completion or termination of this Agreement, the Transferor shall not create any Encumbrance over, or transfer to any third party, the Transfer Shares in a manner that would prevent it from performing its obligations under this Agreement, save with the prior written consent of the Founder.</w:t>
      </w:r>
    </w:p>
    <w:p>
      <w:pPr>
        <w:spacing w:after="120"/>
        <w:ind w:left="792" w:hanging="792"/>
        <w:jc w:val="both"/>
      </w:pPr>
      <w:r>
        <w:rPr>
          <w:rFonts w:ascii="Georgia" w:hAnsi="Georgia"/>
          <w:b/>
          <w:i w:val="0"/>
          <w:color w:val="0E2A47"/>
          <w:sz w:val="21"/>
        </w:rPr>
        <w:t>10.2</w:t>
      </w:r>
      <w:r>
        <w:rPr>
          <w:rFonts w:ascii="Georgia" w:hAnsi="Georgia"/>
          <w:b w:val="0"/>
          <w:i w:val="0"/>
          <w:color w:val="1A1A1A"/>
          <w:sz w:val="21"/>
        </w:rPr>
        <w:tab/>
      </w:r>
      <w:r>
        <w:rPr>
          <w:rFonts w:ascii="Georgia" w:hAnsi="Georgia"/>
          <w:b w:val="0"/>
          <w:i w:val="0"/>
          <w:color w:val="1A1A1A"/>
          <w:sz w:val="21"/>
        </w:rPr>
        <w:t>Nothing in this Clause restricts the ordinary conduct of the business of the Company or the exercise by the Transferor of its rights as a 70% shareholder.</w:t>
      </w:r>
    </w:p>
    <w:p>
      <w:pPr>
        <w:keepNext/>
        <w:spacing w:before="280" w:after="80"/>
      </w:pPr>
      <w:r>
        <w:rPr>
          <w:rFonts w:ascii="Calibri" w:hAnsi="Calibri"/>
          <w:b/>
          <w:i w:val="0"/>
          <w:color w:val="0E2A47"/>
          <w:sz w:val="23"/>
        </w:rPr>
        <w:t>11.</w:t>
      </w:r>
      <w:r>
        <w:rPr>
          <w:rFonts w:ascii="Calibri" w:hAnsi="Calibri"/>
          <w:b/>
          <w:i w:val="0"/>
          <w:color w:val="0E2A47"/>
          <w:sz w:val="23"/>
        </w:rPr>
        <w:t xml:space="preserve">   </w:t>
      </w:r>
      <w:r>
        <w:rPr>
          <w:rFonts w:ascii="Calibri" w:hAnsi="Calibri"/>
          <w:b/>
          <w:i w:val="0"/>
          <w:color w:val="0E2A47"/>
          <w:sz w:val="23"/>
        </w:rPr>
        <w:t>CONFIDENTIALITY</w:t>
      </w:r>
    </w:p>
    <w:p>
      <w:pPr>
        <w:spacing w:after="120"/>
        <w:ind w:left="792" w:hanging="792"/>
        <w:jc w:val="both"/>
      </w:pPr>
      <w:r>
        <w:rPr>
          <w:rFonts w:ascii="Georgia" w:hAnsi="Georgia"/>
          <w:b/>
          <w:i w:val="0"/>
          <w:color w:val="0E2A47"/>
          <w:sz w:val="21"/>
        </w:rPr>
        <w:t>11.1</w:t>
      </w:r>
      <w:r>
        <w:rPr>
          <w:rFonts w:ascii="Georgia" w:hAnsi="Georgia"/>
          <w:b w:val="0"/>
          <w:i w:val="0"/>
          <w:color w:val="1A1A1A"/>
          <w:sz w:val="21"/>
        </w:rPr>
        <w:tab/>
      </w:r>
      <w:r>
        <w:rPr>
          <w:rFonts w:ascii="Georgia" w:hAnsi="Georgia"/>
          <w:b w:val="0"/>
          <w:i w:val="0"/>
          <w:color w:val="1A1A1A"/>
          <w:sz w:val="21"/>
        </w:rPr>
        <w:t>Each Party shall keep confidential the terms of this Agreement and all information concerning the other Parties and the Company obtained in connection with it, and shall not disclose the same save: (a) as required by Applicable Law, a court or regulator (including the DET and the Notary Public); (b) to its professional advisers under a duty of confidence; or (c) with the prior written consent of the other Parties.</w:t>
      </w:r>
    </w:p>
    <w:p>
      <w:pPr>
        <w:keepNext/>
        <w:spacing w:before="280" w:after="80"/>
      </w:pPr>
      <w:r>
        <w:rPr>
          <w:rFonts w:ascii="Calibri" w:hAnsi="Calibri"/>
          <w:b/>
          <w:i w:val="0"/>
          <w:color w:val="0E2A47"/>
          <w:sz w:val="23"/>
        </w:rPr>
        <w:t>12.</w:t>
      </w:r>
      <w:r>
        <w:rPr>
          <w:rFonts w:ascii="Calibri" w:hAnsi="Calibri"/>
          <w:b/>
          <w:i w:val="0"/>
          <w:color w:val="0E2A47"/>
          <w:sz w:val="23"/>
        </w:rPr>
        <w:t xml:space="preserve">   </w:t>
      </w:r>
      <w:r>
        <w:rPr>
          <w:rFonts w:ascii="Calibri" w:hAnsi="Calibri"/>
          <w:b/>
          <w:i w:val="0"/>
          <w:color w:val="0E2A47"/>
          <w:sz w:val="23"/>
        </w:rPr>
        <w:t>COSTS, FEES AND TAXES</w:t>
      </w:r>
    </w:p>
    <w:p>
      <w:pPr>
        <w:spacing w:after="120"/>
        <w:ind w:left="792" w:hanging="792"/>
        <w:jc w:val="both"/>
      </w:pPr>
      <w:r>
        <w:rPr>
          <w:rFonts w:ascii="Georgia" w:hAnsi="Georgia"/>
          <w:b/>
          <w:i w:val="0"/>
          <w:color w:val="0E2A47"/>
          <w:sz w:val="21"/>
        </w:rPr>
        <w:t>12.1</w:t>
      </w:r>
      <w:r>
        <w:rPr>
          <w:rFonts w:ascii="Georgia" w:hAnsi="Georgia"/>
          <w:b w:val="0"/>
          <w:i w:val="0"/>
          <w:color w:val="1A1A1A"/>
          <w:sz w:val="21"/>
        </w:rPr>
        <w:tab/>
      </w:r>
      <w:r>
        <w:rPr>
          <w:rFonts w:ascii="Georgia" w:hAnsi="Georgia"/>
          <w:b w:val="0"/>
          <w:i w:val="0"/>
          <w:color w:val="1A1A1A"/>
          <w:sz w:val="21"/>
        </w:rPr>
        <w:t>Save as otherwise agreed in writing, the Transferor shall bear the Notary Public fees, DET amendment fees and registration costs directly arising from Completion, and each Party shall bear its own legal and advisory costs.</w:t>
      </w:r>
    </w:p>
    <w:p>
      <w:pPr>
        <w:spacing w:after="120"/>
        <w:ind w:left="792" w:hanging="792"/>
        <w:jc w:val="both"/>
      </w:pPr>
      <w:r>
        <w:rPr>
          <w:rFonts w:ascii="Georgia" w:hAnsi="Georgia"/>
          <w:b/>
          <w:i w:val="0"/>
          <w:color w:val="0E2A47"/>
          <w:sz w:val="21"/>
        </w:rPr>
        <w:t>12.2</w:t>
      </w:r>
      <w:r>
        <w:rPr>
          <w:rFonts w:ascii="Georgia" w:hAnsi="Georgia"/>
          <w:b w:val="0"/>
          <w:i w:val="0"/>
          <w:color w:val="1A1A1A"/>
          <w:sz w:val="21"/>
        </w:rPr>
        <w:tab/>
      </w:r>
      <w:r>
        <w:rPr>
          <w:rFonts w:ascii="Georgia" w:hAnsi="Georgia"/>
          <w:b w:val="0"/>
          <w:i w:val="0"/>
          <w:color w:val="1A1A1A"/>
          <w:sz w:val="21"/>
        </w:rPr>
        <w:t>Each Party shall be responsible for its own taxes (if any) arising from the transfer of the Transfer Shares.</w:t>
      </w:r>
    </w:p>
    <w:p>
      <w:pPr>
        <w:keepNext/>
        <w:spacing w:before="280" w:after="80"/>
      </w:pPr>
      <w:r>
        <w:rPr>
          <w:rFonts w:ascii="Calibri" w:hAnsi="Calibri"/>
          <w:b/>
          <w:i w:val="0"/>
          <w:color w:val="0E2A47"/>
          <w:sz w:val="23"/>
        </w:rPr>
        <w:t>13.</w:t>
      </w:r>
      <w:r>
        <w:rPr>
          <w:rFonts w:ascii="Calibri" w:hAnsi="Calibri"/>
          <w:b/>
          <w:i w:val="0"/>
          <w:color w:val="0E2A47"/>
          <w:sz w:val="23"/>
        </w:rPr>
        <w:t xml:space="preserve">   </w:t>
      </w:r>
      <w:r>
        <w:rPr>
          <w:rFonts w:ascii="Calibri" w:hAnsi="Calibri"/>
          <w:b/>
          <w:i w:val="0"/>
          <w:color w:val="0E2A47"/>
          <w:sz w:val="23"/>
        </w:rPr>
        <w:t>TERM AND TERMINATION</w:t>
      </w:r>
    </w:p>
    <w:p>
      <w:pPr>
        <w:spacing w:after="120"/>
        <w:ind w:left="792" w:hanging="792"/>
        <w:jc w:val="both"/>
      </w:pPr>
      <w:r>
        <w:rPr>
          <w:rFonts w:ascii="Georgia" w:hAnsi="Georgia"/>
          <w:b/>
          <w:i w:val="0"/>
          <w:color w:val="0E2A47"/>
          <w:sz w:val="21"/>
        </w:rPr>
        <w:t>13.1</w:t>
      </w:r>
      <w:r>
        <w:rPr>
          <w:rFonts w:ascii="Georgia" w:hAnsi="Georgia"/>
          <w:b w:val="0"/>
          <w:i w:val="0"/>
          <w:color w:val="1A1A1A"/>
          <w:sz w:val="21"/>
        </w:rPr>
        <w:tab/>
      </w:r>
      <w:r>
        <w:rPr>
          <w:rFonts w:ascii="Georgia" w:hAnsi="Georgia"/>
          <w:b w:val="0"/>
          <w:i w:val="0"/>
          <w:color w:val="1A1A1A"/>
          <w:sz w:val="21"/>
        </w:rPr>
        <w:t>This Agreement takes effect on the Effective Date and continues until the earlier of (a) Completion and (b) termination in accordance with this Clause 13.</w:t>
      </w:r>
    </w:p>
    <w:p>
      <w:pPr>
        <w:spacing w:after="120"/>
        <w:ind w:left="792" w:hanging="792"/>
        <w:jc w:val="both"/>
      </w:pPr>
      <w:r>
        <w:rPr>
          <w:rFonts w:ascii="Georgia" w:hAnsi="Georgia"/>
          <w:b/>
          <w:i w:val="0"/>
          <w:color w:val="0E2A47"/>
          <w:sz w:val="21"/>
        </w:rPr>
        <w:t>13.2</w:t>
      </w:r>
      <w:r>
        <w:rPr>
          <w:rFonts w:ascii="Georgia" w:hAnsi="Georgia"/>
          <w:b w:val="0"/>
          <w:i w:val="0"/>
          <w:color w:val="1A1A1A"/>
          <w:sz w:val="21"/>
        </w:rPr>
        <w:tab/>
      </w:r>
      <w:r>
        <w:rPr>
          <w:rFonts w:ascii="Georgia" w:hAnsi="Georgia"/>
          <w:b w:val="0"/>
          <w:i w:val="0"/>
          <w:color w:val="1A1A1A"/>
          <w:sz w:val="21"/>
        </w:rPr>
        <w:t>This Agreement may be terminated by the written agreement of the Transferor and the Company, or by the Transferor (acting by the Founder) if the Performance Threshold has not been achieved and the Transferor reasonably determines that it is no longer capable of being achieved, in each case without liability save in respect of antecedent breaches.</w:t>
      </w:r>
    </w:p>
    <w:p>
      <w:pPr>
        <w:spacing w:after="120"/>
        <w:ind w:left="792" w:hanging="792"/>
        <w:jc w:val="both"/>
      </w:pPr>
      <w:r>
        <w:rPr>
          <w:rFonts w:ascii="Georgia" w:hAnsi="Georgia"/>
          <w:b/>
          <w:i w:val="0"/>
          <w:color w:val="0E2A47"/>
          <w:sz w:val="21"/>
        </w:rPr>
        <w:t>13.3</w:t>
      </w:r>
      <w:r>
        <w:rPr>
          <w:rFonts w:ascii="Georgia" w:hAnsi="Georgia"/>
          <w:b w:val="0"/>
          <w:i w:val="0"/>
          <w:color w:val="1A1A1A"/>
          <w:sz w:val="21"/>
        </w:rPr>
        <w:tab/>
      </w:r>
      <w:r>
        <w:rPr>
          <w:rFonts w:ascii="Georgia" w:hAnsi="Georgia"/>
          <w:b w:val="0"/>
          <w:i w:val="0"/>
          <w:color w:val="1A1A1A"/>
          <w:sz w:val="21"/>
        </w:rPr>
        <w:t>Clauses 1, 11, 14 and 15 survive termination.</w:t>
      </w:r>
    </w:p>
    <w:p>
      <w:pPr>
        <w:keepNext/>
        <w:spacing w:before="280" w:after="80"/>
      </w:pPr>
      <w:r>
        <w:rPr>
          <w:rFonts w:ascii="Calibri" w:hAnsi="Calibri"/>
          <w:b/>
          <w:i w:val="0"/>
          <w:color w:val="0E2A47"/>
          <w:sz w:val="23"/>
        </w:rPr>
        <w:t>14.</w:t>
      </w:r>
      <w:r>
        <w:rPr>
          <w:rFonts w:ascii="Calibri" w:hAnsi="Calibri"/>
          <w:b/>
          <w:i w:val="0"/>
          <w:color w:val="0E2A47"/>
          <w:sz w:val="23"/>
        </w:rPr>
        <w:t xml:space="preserve">   </w:t>
      </w:r>
      <w:r>
        <w:rPr>
          <w:rFonts w:ascii="Calibri" w:hAnsi="Calibri"/>
          <w:b/>
          <w:i w:val="0"/>
          <w:color w:val="0E2A47"/>
          <w:sz w:val="23"/>
        </w:rPr>
        <w:t>GOVERNING LAW AND JURISDICTION</w:t>
      </w:r>
    </w:p>
    <w:p>
      <w:pPr>
        <w:spacing w:after="120"/>
        <w:ind w:left="792" w:hanging="792"/>
        <w:jc w:val="both"/>
      </w:pPr>
      <w:r>
        <w:rPr>
          <w:rFonts w:ascii="Georgia" w:hAnsi="Georgia"/>
          <w:b/>
          <w:i w:val="0"/>
          <w:color w:val="0E2A47"/>
          <w:sz w:val="21"/>
        </w:rPr>
        <w:t>14.1</w:t>
      </w:r>
      <w:r>
        <w:rPr>
          <w:rFonts w:ascii="Georgia" w:hAnsi="Georgia"/>
          <w:b w:val="0"/>
          <w:i w:val="0"/>
          <w:color w:val="1A1A1A"/>
          <w:sz w:val="21"/>
        </w:rPr>
        <w:tab/>
      </w:r>
      <w:r>
        <w:rPr>
          <w:rFonts w:ascii="Georgia" w:hAnsi="Georgia"/>
          <w:b w:val="0"/>
          <w:i w:val="0"/>
          <w:color w:val="1A1A1A"/>
          <w:sz w:val="21"/>
        </w:rPr>
        <w:t xml:space="preserve">This Agreement and any non-contractual obligations arising out of or in connection with it are governed by, and shall be construed in accordance with, the </w:t>
      </w:r>
      <w:r>
        <w:rPr>
          <w:rFonts w:ascii="Georgia" w:hAnsi="Georgia"/>
          <w:b/>
          <w:i w:val="0"/>
          <w:color w:val="1A1A1A"/>
          <w:sz w:val="21"/>
        </w:rPr>
        <w:t>federal laws of the United Arab Emirates as applied in the Emirate of Dubai</w:t>
      </w:r>
      <w:r>
        <w:rPr>
          <w:rFonts w:ascii="Georgia" w:hAnsi="Georgia"/>
          <w:b w:val="0"/>
          <w:i w:val="0"/>
          <w:color w:val="1A1A1A"/>
          <w:sz w:val="21"/>
        </w:rPr>
        <w:t>.</w:t>
      </w:r>
    </w:p>
    <w:p>
      <w:pPr>
        <w:spacing w:after="120"/>
        <w:ind w:left="792" w:hanging="792"/>
        <w:jc w:val="both"/>
      </w:pPr>
      <w:r>
        <w:rPr>
          <w:rFonts w:ascii="Georgia" w:hAnsi="Georgia"/>
          <w:b/>
          <w:i w:val="0"/>
          <w:color w:val="0E2A47"/>
          <w:sz w:val="21"/>
        </w:rPr>
        <w:t>14.2</w:t>
      </w:r>
      <w:r>
        <w:rPr>
          <w:rFonts w:ascii="Georgia" w:hAnsi="Georgia"/>
          <w:b w:val="0"/>
          <w:i w:val="0"/>
          <w:color w:val="1A1A1A"/>
          <w:sz w:val="21"/>
        </w:rPr>
        <w:tab/>
      </w:r>
      <w:r>
        <w:rPr>
          <w:rFonts w:ascii="Georgia" w:hAnsi="Georgia"/>
          <w:b w:val="0"/>
          <w:i w:val="0"/>
          <w:color w:val="1A1A1A"/>
          <w:sz w:val="21"/>
        </w:rPr>
        <w:t xml:space="preserve">The Parties irrevocably submit to the </w:t>
      </w:r>
      <w:r>
        <w:rPr>
          <w:rFonts w:ascii="Georgia" w:hAnsi="Georgia"/>
          <w:b/>
          <w:i w:val="0"/>
          <w:color w:val="1A1A1A"/>
          <w:sz w:val="21"/>
        </w:rPr>
        <w:t>exclusive jurisdiction of the Courts of Dubai</w:t>
      </w:r>
      <w:r>
        <w:rPr>
          <w:rFonts w:ascii="Georgia" w:hAnsi="Georgia"/>
          <w:b w:val="0"/>
          <w:i w:val="0"/>
          <w:color w:val="1A1A1A"/>
          <w:sz w:val="21"/>
        </w:rPr>
        <w:t xml:space="preserve"> in respect of any dispute arising out of or in connection with this Agreement, without prejudice to any mandatory requirement for notarisation or registration before the Notary Public and the DET.</w:t>
      </w:r>
    </w:p>
    <w:p>
      <w:pPr>
        <w:spacing w:after="120"/>
        <w:ind w:left="792" w:hanging="792"/>
        <w:jc w:val="both"/>
      </w:pPr>
      <w:r>
        <w:rPr>
          <w:rFonts w:ascii="Georgia" w:hAnsi="Georgia"/>
          <w:b/>
          <w:i w:val="0"/>
          <w:color w:val="0E2A47"/>
          <w:sz w:val="21"/>
        </w:rPr>
        <w:t>14.3</w:t>
      </w:r>
      <w:r>
        <w:rPr>
          <w:rFonts w:ascii="Georgia" w:hAnsi="Georgia"/>
          <w:b w:val="0"/>
          <w:i w:val="0"/>
          <w:color w:val="1A1A1A"/>
          <w:sz w:val="21"/>
        </w:rPr>
        <w:tab/>
      </w:r>
      <w:r>
        <w:rPr>
          <w:rFonts w:ascii="Georgia" w:hAnsi="Georgia"/>
          <w:b w:val="0"/>
          <w:i w:val="0"/>
          <w:color w:val="1A1A1A"/>
          <w:sz w:val="21"/>
        </w:rPr>
        <w:t xml:space="preserve">The Parties may, by written agreement, elect to refer any dispute instead to arbitration administered by the </w:t>
      </w:r>
      <w:r>
        <w:rPr>
          <w:rFonts w:ascii="Georgia" w:hAnsi="Georgia"/>
          <w:b/>
          <w:i w:val="0"/>
          <w:color w:val="1A1A1A"/>
          <w:sz w:val="21"/>
        </w:rPr>
        <w:t>Dubai International Arbitration Centre (DIAC)</w:t>
      </w:r>
      <w:r>
        <w:rPr>
          <w:rFonts w:ascii="Georgia" w:hAnsi="Georgia"/>
          <w:b w:val="0"/>
          <w:i w:val="0"/>
          <w:color w:val="1A1A1A"/>
          <w:sz w:val="21"/>
        </w:rPr>
        <w:t>, seated in Dubai and conducted in the English language.</w:t>
      </w:r>
    </w:p>
    <w:p>
      <w:pPr>
        <w:keepNext/>
        <w:spacing w:before="280" w:after="80"/>
      </w:pPr>
      <w:r>
        <w:rPr>
          <w:rFonts w:ascii="Calibri" w:hAnsi="Calibri"/>
          <w:b/>
          <w:i w:val="0"/>
          <w:color w:val="0E2A47"/>
          <w:sz w:val="23"/>
        </w:rPr>
        <w:t>15.</w:t>
      </w:r>
      <w:r>
        <w:rPr>
          <w:rFonts w:ascii="Calibri" w:hAnsi="Calibri"/>
          <w:b/>
          <w:i w:val="0"/>
          <w:color w:val="0E2A47"/>
          <w:sz w:val="23"/>
        </w:rPr>
        <w:t xml:space="preserve">   </w:t>
      </w:r>
      <w:r>
        <w:rPr>
          <w:rFonts w:ascii="Calibri" w:hAnsi="Calibri"/>
          <w:b/>
          <w:i w:val="0"/>
          <w:color w:val="0E2A47"/>
          <w:sz w:val="23"/>
        </w:rPr>
        <w:t>GENERAL PROVISIONS</w:t>
      </w:r>
    </w:p>
    <w:p>
      <w:pPr>
        <w:spacing w:after="120"/>
        <w:ind w:left="792" w:hanging="792"/>
        <w:jc w:val="both"/>
      </w:pPr>
      <w:r>
        <w:rPr>
          <w:rFonts w:ascii="Georgia" w:hAnsi="Georgia"/>
          <w:b/>
          <w:i w:val="0"/>
          <w:color w:val="0E2A47"/>
          <w:sz w:val="21"/>
        </w:rPr>
        <w:t>15.1</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Entire Agreement.</w:t>
      </w:r>
      <w:r>
        <w:rPr>
          <w:rFonts w:ascii="Georgia" w:hAnsi="Georgia"/>
          <w:b w:val="0"/>
          <w:i w:val="0"/>
          <w:color w:val="1A1A1A"/>
          <w:sz w:val="21"/>
        </w:rPr>
        <w:t xml:space="preserve"> This Agreement constitutes the entire agreement between the Parties in relation to its subject matter and supersedes all prior arrangements and understandings.</w:t>
      </w:r>
    </w:p>
    <w:p>
      <w:pPr>
        <w:spacing w:after="120"/>
        <w:ind w:left="792" w:hanging="792"/>
        <w:jc w:val="both"/>
      </w:pPr>
      <w:r>
        <w:rPr>
          <w:rFonts w:ascii="Georgia" w:hAnsi="Georgia"/>
          <w:b/>
          <w:i w:val="0"/>
          <w:color w:val="0E2A47"/>
          <w:sz w:val="21"/>
        </w:rPr>
        <w:t>15.2</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Amendments.</w:t>
      </w:r>
      <w:r>
        <w:rPr>
          <w:rFonts w:ascii="Georgia" w:hAnsi="Georgia"/>
          <w:b w:val="0"/>
          <w:i w:val="0"/>
          <w:color w:val="1A1A1A"/>
          <w:sz w:val="21"/>
        </w:rPr>
        <w:t xml:space="preserve"> No amendment to this Agreement is effective unless in writing and signed by or on behalf of each Party.</w:t>
      </w:r>
    </w:p>
    <w:p>
      <w:pPr>
        <w:spacing w:after="120"/>
        <w:ind w:left="792" w:hanging="792"/>
        <w:jc w:val="both"/>
      </w:pPr>
      <w:r>
        <w:rPr>
          <w:rFonts w:ascii="Georgia" w:hAnsi="Georgia"/>
          <w:b/>
          <w:i w:val="0"/>
          <w:color w:val="0E2A47"/>
          <w:sz w:val="21"/>
        </w:rPr>
        <w:t>15.3</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No Waiver.</w:t>
      </w:r>
      <w:r>
        <w:rPr>
          <w:rFonts w:ascii="Georgia" w:hAnsi="Georgia"/>
          <w:b w:val="0"/>
          <w:i w:val="0"/>
          <w:color w:val="1A1A1A"/>
          <w:sz w:val="21"/>
        </w:rPr>
        <w:t xml:space="preserve"> No failure or delay in exercising any right operates as a waiver of it.</w:t>
      </w:r>
    </w:p>
    <w:p>
      <w:pPr>
        <w:spacing w:after="120"/>
        <w:ind w:left="792" w:hanging="792"/>
        <w:jc w:val="both"/>
      </w:pPr>
      <w:r>
        <w:rPr>
          <w:rFonts w:ascii="Georgia" w:hAnsi="Georgia"/>
          <w:b/>
          <w:i w:val="0"/>
          <w:color w:val="0E2A47"/>
          <w:sz w:val="21"/>
        </w:rPr>
        <w:t>15.4</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Severability.</w:t>
      </w:r>
      <w:r>
        <w:rPr>
          <w:rFonts w:ascii="Georgia" w:hAnsi="Georgia"/>
          <w:b w:val="0"/>
          <w:i w:val="0"/>
          <w:color w:val="1A1A1A"/>
          <w:sz w:val="21"/>
        </w:rPr>
        <w:t xml:space="preserve"> If any provision is or becomes invalid or unenforceable, the remaining provisions continue in full force and the Parties shall negotiate in good faith to replace the invalid provision with a valid one of similar effect.</w:t>
      </w:r>
    </w:p>
    <w:p>
      <w:pPr>
        <w:spacing w:after="120"/>
        <w:ind w:left="792" w:hanging="792"/>
        <w:jc w:val="both"/>
      </w:pPr>
      <w:r>
        <w:rPr>
          <w:rFonts w:ascii="Georgia" w:hAnsi="Georgia"/>
          <w:b/>
          <w:i w:val="0"/>
          <w:color w:val="0E2A47"/>
          <w:sz w:val="21"/>
        </w:rPr>
        <w:t>15.5</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Assignment.</w:t>
      </w:r>
      <w:r>
        <w:rPr>
          <w:rFonts w:ascii="Georgia" w:hAnsi="Georgia"/>
          <w:b w:val="0"/>
          <w:i w:val="0"/>
          <w:color w:val="1A1A1A"/>
          <w:sz w:val="21"/>
        </w:rPr>
        <w:t xml:space="preserve"> No Party may assign or transfer its rights or obligations under this Agreement without the prior written consent of the Transferor (acting by the Founder).</w:t>
      </w:r>
    </w:p>
    <w:p>
      <w:pPr>
        <w:spacing w:after="120"/>
        <w:ind w:left="792" w:hanging="792"/>
        <w:jc w:val="both"/>
      </w:pPr>
      <w:r>
        <w:rPr>
          <w:rFonts w:ascii="Georgia" w:hAnsi="Georgia"/>
          <w:b/>
          <w:i w:val="0"/>
          <w:color w:val="0E2A47"/>
          <w:sz w:val="21"/>
        </w:rPr>
        <w:t>15.6</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Further Assurance.</w:t>
      </w:r>
      <w:r>
        <w:rPr>
          <w:rFonts w:ascii="Georgia" w:hAnsi="Georgia"/>
          <w:b w:val="0"/>
          <w:i w:val="0"/>
          <w:color w:val="1A1A1A"/>
          <w:sz w:val="21"/>
        </w:rPr>
        <w:t xml:space="preserve"> Each Party shall execute such further documents and do such further acts as may reasonably be required to give full effect to this Agreement.</w:t>
      </w:r>
    </w:p>
    <w:p>
      <w:pPr>
        <w:spacing w:after="120"/>
        <w:ind w:left="792" w:hanging="792"/>
        <w:jc w:val="both"/>
      </w:pPr>
      <w:r>
        <w:rPr>
          <w:rFonts w:ascii="Georgia" w:hAnsi="Georgia"/>
          <w:b/>
          <w:i w:val="0"/>
          <w:color w:val="0E2A47"/>
          <w:sz w:val="21"/>
        </w:rPr>
        <w:t>15.7</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Counterparts.</w:t>
      </w:r>
      <w:r>
        <w:rPr>
          <w:rFonts w:ascii="Georgia" w:hAnsi="Georgia"/>
          <w:b w:val="0"/>
          <w:i w:val="0"/>
          <w:color w:val="1A1A1A"/>
          <w:sz w:val="21"/>
        </w:rPr>
        <w:t xml:space="preserve"> This Agreement may be executed in any number of counterparts, each of which is an original and all of which together constitute one agreement.</w:t>
      </w:r>
    </w:p>
    <w:p>
      <w:pPr>
        <w:spacing w:after="120"/>
        <w:ind w:left="792" w:hanging="792"/>
        <w:jc w:val="both"/>
      </w:pPr>
      <w:r>
        <w:rPr>
          <w:rFonts w:ascii="Georgia" w:hAnsi="Georgia"/>
          <w:b/>
          <w:i w:val="0"/>
          <w:color w:val="0E2A47"/>
          <w:sz w:val="21"/>
        </w:rPr>
        <w:t>15.8</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Notices.</w:t>
      </w:r>
      <w:r>
        <w:rPr>
          <w:rFonts w:ascii="Georgia" w:hAnsi="Georgia"/>
          <w:b w:val="0"/>
          <w:i w:val="0"/>
          <w:color w:val="1A1A1A"/>
          <w:sz w:val="21"/>
        </w:rPr>
        <w:t xml:space="preserve"> Notices under this Agreement shall be in writing and delivered by hand, courier or email to the addresses of the Parties set out in this Agreement (or as notified in writing from time to time).</w:t>
      </w:r>
    </w:p>
    <w:p>
      <w:pPr>
        <w:spacing w:after="120"/>
        <w:ind w:left="792" w:hanging="792"/>
        <w:jc w:val="both"/>
      </w:pPr>
      <w:r>
        <w:rPr>
          <w:rFonts w:ascii="Georgia" w:hAnsi="Georgia"/>
          <w:b/>
          <w:i w:val="0"/>
          <w:color w:val="0E2A47"/>
          <w:sz w:val="21"/>
        </w:rPr>
        <w:t>15.9</w:t>
      </w:r>
      <w:r>
        <w:rPr>
          <w:rFonts w:ascii="Georgia" w:hAnsi="Georgia"/>
          <w:b w:val="0"/>
          <w:i w:val="0"/>
          <w:color w:val="1A1A1A"/>
          <w:sz w:val="21"/>
        </w:rPr>
        <w:tab/>
      </w:r>
      <w:r>
        <w:rPr>
          <w:rFonts w:ascii="Georgia" w:hAnsi="Georgia"/>
          <w:b w:val="0"/>
          <w:i w:val="0"/>
          <w:color w:val="1A1A1A"/>
          <w:sz w:val="21"/>
        </w:rPr>
      </w:r>
      <w:r>
        <w:rPr>
          <w:rFonts w:ascii="Georgia" w:hAnsi="Georgia"/>
          <w:b/>
          <w:i w:val="0"/>
          <w:color w:val="1A1A1A"/>
          <w:sz w:val="21"/>
        </w:rPr>
        <w:t>Language.</w:t>
      </w:r>
      <w:r>
        <w:rPr>
          <w:rFonts w:ascii="Georgia" w:hAnsi="Georgia"/>
          <w:b w:val="0"/>
          <w:i w:val="0"/>
          <w:color w:val="1A1A1A"/>
          <w:sz w:val="21"/>
        </w:rPr>
        <w:t xml:space="preserve"> This Agreement is executed in English. Where a notarised Arabic version is required for registration before the Notary Public and the DET, the Parties shall procure a certified Arabic translation; in the event of any conflict between the English and the notarised Arabic version, the </w:t>
      </w:r>
      <w:r>
        <w:rPr>
          <w:rFonts w:ascii="Georgia" w:hAnsi="Georgia"/>
          <w:b/>
          <w:i w:val="0"/>
          <w:color w:val="1A1A1A"/>
          <w:sz w:val="21"/>
        </w:rPr>
        <w:t>Arabic version shall prevail</w:t>
      </w:r>
      <w:r>
        <w:rPr>
          <w:rFonts w:ascii="Georgia" w:hAnsi="Georgia"/>
          <w:b w:val="0"/>
          <w:i w:val="0"/>
          <w:color w:val="1A1A1A"/>
          <w:sz w:val="21"/>
        </w:rPr>
        <w:t xml:space="preserve"> for the purposes of registration before the Dubai authorities, and the English version shall otherwise govern the commercial intention of the Parties.</w:t>
      </w:r>
    </w:p>
    <w:p>
      <w:pPr>
        <w:keepNext/>
        <w:spacing w:before="240" w:after="100"/>
        <w:pBdr>
          <w:bottom w:val="single" w:sz="8" w:space="3" w:color="B18A3E"/>
        </w:pBdr>
      </w:pPr>
      <w:r>
        <w:rPr>
          <w:rFonts w:ascii="Calibri" w:hAnsi="Calibri"/>
          <w:b/>
          <w:i w:val="0"/>
          <w:color w:val="0E2A47"/>
          <w:sz w:val="24"/>
        </w:rPr>
        <w:t>EXECUTION</w:t>
      </w:r>
    </w:p>
    <w:p>
      <w:pPr>
        <w:spacing w:after="240"/>
        <w:jc w:val="both"/>
      </w:pPr>
      <w:r>
        <w:rPr>
          <w:rFonts w:ascii="Georgia" w:hAnsi="Georgia"/>
          <w:b w:val="0"/>
          <w:i w:val="0"/>
          <w:color w:val="1A1A1A"/>
          <w:sz w:val="21"/>
        </w:rPr>
      </w:r>
      <w:r>
        <w:rPr>
          <w:rFonts w:ascii="Georgia" w:hAnsi="Georgia"/>
          <w:b/>
          <w:i w:val="0"/>
          <w:color w:val="1A1A1A"/>
          <w:sz w:val="21"/>
        </w:rPr>
        <w:t>IN WITNESS WHEREOF</w:t>
      </w:r>
      <w:r>
        <w:rPr>
          <w:rFonts w:ascii="Georgia" w:hAnsi="Georgia"/>
          <w:b w:val="0"/>
          <w:i w:val="0"/>
          <w:color w:val="1A1A1A"/>
          <w:sz w:val="21"/>
        </w:rPr>
        <w:t xml:space="preserve"> the Parties have executed this Agreement on the date stated at the beginning of this Agreement.</w:t>
      </w:r>
    </w:p>
    <w:tbl>
      <w:tblPr>
        <w:tblW w:type="auto" w:w="0"/>
        <w:jc w:val="left"/>
        <w:tblLook w:firstColumn="1" w:firstRow="1" w:lastColumn="0" w:lastRow="0" w:noHBand="0" w:noVBand="1" w:val="04A0"/>
      </w:tblPr>
      <w:tblGrid>
        <w:gridCol w:w="9216"/>
      </w:tblGrid>
      <w:tr>
        <w:tc>
          <w:tcPr>
            <w:tcW w:type="dxa" w:w="9216"/>
            <w:shd w:val="clear" w:color="auto" w:fill="FBFAF6"/>
            <w:tcBorders>
              <w:top w:val="single" w:sz="6" w:space="0" w:color="C9C2AE"/>
              <w:left w:val="single" w:sz="6" w:space="0" w:color="C9C2AE"/>
              <w:bottom w:val="single" w:sz="6" w:space="0" w:color="C9C2AE"/>
              <w:right w:val="single" w:sz="6" w:space="0" w:color="C9C2AE"/>
            </w:tcBorders>
          </w:tcPr>
          <w:p>
            <w:pPr>
              <w:spacing w:before="0" w:after="0"/>
            </w:pPr>
            <w:r>
              <w:rPr>
                <w:rFonts w:ascii="Calibri" w:hAnsi="Calibri"/>
                <w:b/>
                <w:i w:val="0"/>
                <w:caps/>
                <w:color w:val="B18A3E"/>
                <w:sz w:val="18"/>
              </w:rPr>
              <w:t>The Transferor</w:t>
            </w:r>
          </w:p>
          <w:p>
            <w:pPr>
              <w:spacing w:before="40" w:after="0"/>
            </w:pPr>
            <w:r>
              <w:rPr>
                <w:rFonts w:ascii="Calibri" w:hAnsi="Calibri"/>
                <w:b/>
                <w:i w:val="0"/>
                <w:color w:val="0E2A47"/>
                <w:sz w:val="22"/>
              </w:rPr>
              <w:t>PODOCARPUS REAL ESTATE LLC</w:t>
            </w:r>
          </w:p>
          <w:p>
            <w:pPr>
              <w:spacing w:before="140" w:after="0"/>
            </w:pPr>
            <w:r>
              <w:rPr>
                <w:rFonts w:ascii="Georgia" w:hAnsi="Georgia"/>
                <w:b/>
                <w:i w:val="0"/>
                <w:color w:val="555555"/>
                <w:sz w:val="19"/>
              </w:rPr>
              <w:t xml:space="preserve">Signature: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Name of Authorised Signatory: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Title / Capacity: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Date:  </w:t>
            </w:r>
            <w:r>
              <w:rPr>
                <w:rFonts w:ascii="Georgia" w:hAnsi="Georgia"/>
                <w:b w:val="0"/>
                <w:i w:val="0"/>
                <w:color w:val="1A1A1A"/>
                <w:sz w:val="19"/>
              </w:rPr>
              <w:t>_______________________________________</w:t>
            </w:r>
          </w:p>
          <w:p>
            <w:pPr>
              <w:spacing w:before="0" w:after="0"/>
            </w:pPr>
            <w:r>
              <w:rPr>
                <w:rFonts w:ascii="Georgia" w:hAnsi="Georgia"/>
                <w:b w:val="0"/>
                <w:i w:val="0"/>
                <w:color w:val="1A1A1A"/>
                <w:sz w:val="8"/>
              </w:rPr>
            </w:r>
          </w:p>
        </w:tc>
      </w:tr>
    </w:tbl>
    <w:p/>
    <w:tbl>
      <w:tblPr>
        <w:tblW w:type="auto" w:w="0"/>
        <w:jc w:val="left"/>
        <w:tblLook w:firstColumn="1" w:firstRow="1" w:lastColumn="0" w:lastRow="0" w:noHBand="0" w:noVBand="1" w:val="04A0"/>
      </w:tblPr>
      <w:tblGrid>
        <w:gridCol w:w="9216"/>
      </w:tblGrid>
      <w:tr>
        <w:tc>
          <w:tcPr>
            <w:tcW w:type="dxa" w:w="9216"/>
            <w:shd w:val="clear" w:color="auto" w:fill="FBFAF6"/>
            <w:tcBorders>
              <w:top w:val="single" w:sz="6" w:space="0" w:color="C9C2AE"/>
              <w:left w:val="single" w:sz="6" w:space="0" w:color="C9C2AE"/>
              <w:bottom w:val="single" w:sz="6" w:space="0" w:color="C9C2AE"/>
              <w:right w:val="single" w:sz="6" w:space="0" w:color="C9C2AE"/>
            </w:tcBorders>
          </w:tcPr>
          <w:p>
            <w:pPr>
              <w:spacing w:before="0" w:after="0"/>
            </w:pPr>
            <w:r>
              <w:rPr>
                <w:rFonts w:ascii="Calibri" w:hAnsi="Calibri"/>
                <w:b/>
                <w:i w:val="0"/>
                <w:caps/>
                <w:color w:val="B18A3E"/>
                <w:sz w:val="18"/>
              </w:rPr>
              <w:t>Acting by the Founder</w:t>
            </w:r>
          </w:p>
          <w:p>
            <w:pPr>
              <w:spacing w:before="40" w:after="0"/>
            </w:pPr>
            <w:r>
              <w:rPr>
                <w:rFonts w:ascii="Calibri" w:hAnsi="Calibri"/>
                <w:b/>
                <w:i w:val="0"/>
                <w:color w:val="0E2A47"/>
                <w:sz w:val="22"/>
              </w:rPr>
              <w:t>FOR AND ON BEHALF OF THE FOUNDER</w:t>
            </w:r>
          </w:p>
          <w:p>
            <w:pPr>
              <w:spacing w:before="140" w:after="0"/>
            </w:pPr>
            <w:r>
              <w:rPr>
                <w:rFonts w:ascii="Georgia" w:hAnsi="Georgia"/>
                <w:b/>
                <w:i w:val="0"/>
                <w:color w:val="555555"/>
                <w:sz w:val="19"/>
              </w:rPr>
              <w:t xml:space="preserve">Signature: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Name of Founder: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Title / Capacity: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Date:  </w:t>
            </w:r>
            <w:r>
              <w:rPr>
                <w:rFonts w:ascii="Georgia" w:hAnsi="Georgia"/>
                <w:b w:val="0"/>
                <w:i w:val="0"/>
                <w:color w:val="1A1A1A"/>
                <w:sz w:val="19"/>
              </w:rPr>
              <w:t>_______________________________________</w:t>
            </w:r>
          </w:p>
          <w:p>
            <w:pPr>
              <w:spacing w:before="0" w:after="0"/>
            </w:pPr>
            <w:r>
              <w:rPr>
                <w:rFonts w:ascii="Georgia" w:hAnsi="Georgia"/>
                <w:b w:val="0"/>
                <w:i w:val="0"/>
                <w:color w:val="1A1A1A"/>
                <w:sz w:val="8"/>
              </w:rPr>
            </w:r>
          </w:p>
        </w:tc>
      </w:tr>
    </w:tbl>
    <w:p/>
    <w:tbl>
      <w:tblPr>
        <w:tblW w:type="auto" w:w="0"/>
        <w:jc w:val="left"/>
        <w:tblLook w:firstColumn="1" w:firstRow="1" w:lastColumn="0" w:lastRow="0" w:noHBand="0" w:noVBand="1" w:val="04A0"/>
      </w:tblPr>
      <w:tblGrid>
        <w:gridCol w:w="9216"/>
      </w:tblGrid>
      <w:tr>
        <w:tc>
          <w:tcPr>
            <w:tcW w:type="dxa" w:w="9216"/>
            <w:shd w:val="clear" w:color="auto" w:fill="FBFAF6"/>
            <w:tcBorders>
              <w:top w:val="single" w:sz="6" w:space="0" w:color="C9C2AE"/>
              <w:left w:val="single" w:sz="6" w:space="0" w:color="C9C2AE"/>
              <w:bottom w:val="single" w:sz="6" w:space="0" w:color="C9C2AE"/>
              <w:right w:val="single" w:sz="6" w:space="0" w:color="C9C2AE"/>
            </w:tcBorders>
          </w:tcPr>
          <w:p>
            <w:pPr>
              <w:spacing w:before="0" w:after="0"/>
            </w:pPr>
            <w:r>
              <w:rPr>
                <w:rFonts w:ascii="Calibri" w:hAnsi="Calibri"/>
                <w:b/>
                <w:i w:val="0"/>
                <w:caps/>
                <w:color w:val="B18A3E"/>
                <w:sz w:val="18"/>
              </w:rPr>
              <w:t>The Company</w:t>
            </w:r>
          </w:p>
          <w:p>
            <w:pPr>
              <w:spacing w:before="40" w:after="0"/>
            </w:pPr>
            <w:r>
              <w:rPr>
                <w:rFonts w:ascii="Calibri" w:hAnsi="Calibri"/>
                <w:b/>
                <w:i w:val="0"/>
                <w:color w:val="0E2A47"/>
                <w:sz w:val="22"/>
              </w:rPr>
              <w:t>ORIZURU HOLIDAY HOMES LLC</w:t>
            </w:r>
          </w:p>
          <w:p>
            <w:pPr>
              <w:spacing w:before="140" w:after="0"/>
            </w:pPr>
            <w:r>
              <w:rPr>
                <w:rFonts w:ascii="Georgia" w:hAnsi="Georgia"/>
                <w:b/>
                <w:i w:val="0"/>
                <w:color w:val="555555"/>
                <w:sz w:val="19"/>
              </w:rPr>
              <w:t xml:space="preserve">Signature: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Name of Authorised Signatory: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Title / Capacity: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Date:  </w:t>
            </w:r>
            <w:r>
              <w:rPr>
                <w:rFonts w:ascii="Georgia" w:hAnsi="Georgia"/>
                <w:b w:val="0"/>
                <w:i w:val="0"/>
                <w:color w:val="1A1A1A"/>
                <w:sz w:val="19"/>
              </w:rPr>
              <w:t>_______________________________________</w:t>
            </w:r>
          </w:p>
          <w:p>
            <w:pPr>
              <w:spacing w:before="0" w:after="0"/>
            </w:pPr>
            <w:r>
              <w:rPr>
                <w:rFonts w:ascii="Georgia" w:hAnsi="Georgia"/>
                <w:b w:val="0"/>
                <w:i w:val="0"/>
                <w:color w:val="1A1A1A"/>
                <w:sz w:val="8"/>
              </w:rPr>
            </w:r>
          </w:p>
        </w:tc>
      </w:tr>
    </w:tbl>
    <w:p/>
    <w:tbl>
      <w:tblPr>
        <w:tblW w:type="auto" w:w="0"/>
        <w:jc w:val="left"/>
        <w:tblLook w:firstColumn="1" w:firstRow="1" w:lastColumn="0" w:lastRow="0" w:noHBand="0" w:noVBand="1" w:val="04A0"/>
      </w:tblPr>
      <w:tblGrid>
        <w:gridCol w:w="9216"/>
      </w:tblGrid>
      <w:tr>
        <w:tc>
          <w:tcPr>
            <w:tcW w:type="dxa" w:w="9216"/>
            <w:shd w:val="clear" w:color="auto" w:fill="FBFAF6"/>
            <w:tcBorders>
              <w:top w:val="single" w:sz="6" w:space="0" w:color="C9C2AE"/>
              <w:left w:val="single" w:sz="6" w:space="0" w:color="C9C2AE"/>
              <w:bottom w:val="single" w:sz="6" w:space="0" w:color="C9C2AE"/>
              <w:right w:val="single" w:sz="6" w:space="0" w:color="C9C2AE"/>
            </w:tcBorders>
          </w:tcPr>
          <w:p>
            <w:pPr>
              <w:spacing w:before="0" w:after="0"/>
            </w:pPr>
            <w:r>
              <w:rPr>
                <w:rFonts w:ascii="Calibri" w:hAnsi="Calibri"/>
                <w:b/>
                <w:i w:val="0"/>
                <w:caps/>
                <w:color w:val="B18A3E"/>
                <w:sz w:val="18"/>
              </w:rPr>
              <w:t>Transferee (1)</w:t>
            </w:r>
          </w:p>
          <w:p>
            <w:pPr>
              <w:spacing w:before="40" w:after="0"/>
            </w:pPr>
            <w:r>
              <w:rPr>
                <w:rFonts w:ascii="Calibri" w:hAnsi="Calibri"/>
                <w:b/>
                <w:i w:val="0"/>
                <w:color w:val="0E2A47"/>
                <w:sz w:val="22"/>
              </w:rPr>
              <w:t>MR. YSLAM ATAYEV</w:t>
            </w:r>
          </w:p>
          <w:p>
            <w:pPr>
              <w:spacing w:before="140" w:after="0"/>
            </w:pPr>
            <w:r>
              <w:rPr>
                <w:rFonts w:ascii="Georgia" w:hAnsi="Georgia"/>
                <w:b/>
                <w:i w:val="0"/>
                <w:color w:val="555555"/>
                <w:sz w:val="19"/>
              </w:rPr>
              <w:t xml:space="preserve">Signature: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Name: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Title / Capacity: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Date:  </w:t>
            </w:r>
            <w:r>
              <w:rPr>
                <w:rFonts w:ascii="Georgia" w:hAnsi="Georgia"/>
                <w:b w:val="0"/>
                <w:i w:val="0"/>
                <w:color w:val="1A1A1A"/>
                <w:sz w:val="19"/>
              </w:rPr>
              <w:t>_______________________________________</w:t>
            </w:r>
          </w:p>
          <w:p>
            <w:pPr>
              <w:spacing w:before="0" w:after="0"/>
            </w:pPr>
            <w:r>
              <w:rPr>
                <w:rFonts w:ascii="Georgia" w:hAnsi="Georgia"/>
                <w:b w:val="0"/>
                <w:i w:val="0"/>
                <w:color w:val="1A1A1A"/>
                <w:sz w:val="8"/>
              </w:rPr>
            </w:r>
          </w:p>
        </w:tc>
      </w:tr>
    </w:tbl>
    <w:p/>
    <w:tbl>
      <w:tblPr>
        <w:tblW w:type="auto" w:w="0"/>
        <w:jc w:val="left"/>
        <w:tblLook w:firstColumn="1" w:firstRow="1" w:lastColumn="0" w:lastRow="0" w:noHBand="0" w:noVBand="1" w:val="04A0"/>
      </w:tblPr>
      <w:tblGrid>
        <w:gridCol w:w="9216"/>
      </w:tblGrid>
      <w:tr>
        <w:tc>
          <w:tcPr>
            <w:tcW w:type="dxa" w:w="9216"/>
            <w:shd w:val="clear" w:color="auto" w:fill="FBFAF6"/>
            <w:tcBorders>
              <w:top w:val="single" w:sz="6" w:space="0" w:color="C9C2AE"/>
              <w:left w:val="single" w:sz="6" w:space="0" w:color="C9C2AE"/>
              <w:bottom w:val="single" w:sz="6" w:space="0" w:color="C9C2AE"/>
              <w:right w:val="single" w:sz="6" w:space="0" w:color="C9C2AE"/>
            </w:tcBorders>
          </w:tcPr>
          <w:p>
            <w:pPr>
              <w:spacing w:before="0" w:after="0"/>
            </w:pPr>
            <w:r>
              <w:rPr>
                <w:rFonts w:ascii="Calibri" w:hAnsi="Calibri"/>
                <w:b/>
                <w:i w:val="0"/>
                <w:caps/>
                <w:color w:val="B18A3E"/>
                <w:sz w:val="18"/>
              </w:rPr>
              <w:t>Transferee (2)</w:t>
            </w:r>
          </w:p>
          <w:p>
            <w:pPr>
              <w:spacing w:before="40" w:after="0"/>
            </w:pPr>
            <w:r>
              <w:rPr>
                <w:rFonts w:ascii="Calibri" w:hAnsi="Calibri"/>
                <w:b/>
                <w:i w:val="0"/>
                <w:color w:val="0E2A47"/>
                <w:sz w:val="22"/>
              </w:rPr>
              <w:t>MR. ORAZDURDY MAMIYEV</w:t>
            </w:r>
          </w:p>
          <w:p>
            <w:pPr>
              <w:spacing w:before="140" w:after="0"/>
            </w:pPr>
            <w:r>
              <w:rPr>
                <w:rFonts w:ascii="Georgia" w:hAnsi="Georgia"/>
                <w:b/>
                <w:i w:val="0"/>
                <w:color w:val="555555"/>
                <w:sz w:val="19"/>
              </w:rPr>
              <w:t xml:space="preserve">Signature: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Name: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Title / Capacity:  </w:t>
            </w:r>
            <w:r>
              <w:rPr>
                <w:rFonts w:ascii="Georgia" w:hAnsi="Georgia"/>
                <w:b w:val="0"/>
                <w:i w:val="0"/>
                <w:color w:val="1A1A1A"/>
                <w:sz w:val="19"/>
              </w:rPr>
              <w:t>_______________________________________</w:t>
            </w:r>
          </w:p>
          <w:p>
            <w:pPr>
              <w:spacing w:before="140" w:after="0"/>
            </w:pPr>
            <w:r>
              <w:rPr>
                <w:rFonts w:ascii="Georgia" w:hAnsi="Georgia"/>
                <w:b/>
                <w:i w:val="0"/>
                <w:color w:val="555555"/>
                <w:sz w:val="19"/>
              </w:rPr>
              <w:t xml:space="preserve">Date:  </w:t>
            </w:r>
            <w:r>
              <w:rPr>
                <w:rFonts w:ascii="Georgia" w:hAnsi="Georgia"/>
                <w:b w:val="0"/>
                <w:i w:val="0"/>
                <w:color w:val="1A1A1A"/>
                <w:sz w:val="19"/>
              </w:rPr>
              <w:t>_______________________________________</w:t>
            </w:r>
          </w:p>
          <w:p>
            <w:pPr>
              <w:spacing w:before="0" w:after="0"/>
            </w:pPr>
            <w:r>
              <w:rPr>
                <w:rFonts w:ascii="Georgia" w:hAnsi="Georgia"/>
                <w:b w:val="0"/>
                <w:i w:val="0"/>
                <w:color w:val="1A1A1A"/>
                <w:sz w:val="8"/>
              </w:rPr>
            </w:r>
          </w:p>
        </w:tc>
      </w:tr>
    </w:tbl>
    <w:p/>
    <w:p>
      <w:pPr>
        <w:spacing w:after="80"/>
        <w:jc w:val="both"/>
      </w:pPr>
      <w:r>
        <w:rPr>
          <w:rFonts w:ascii="Georgia" w:hAnsi="Georgia"/>
          <w:b w:val="0"/>
          <w:i w:val="0"/>
          <w:color w:val="1A1A1A"/>
          <w:sz w:val="19"/>
        </w:rPr>
        <w:t>Witnessed by: ______________________________   Name: ______________________________   Date: ____________</w:t>
      </w:r>
    </w:p>
    <w:p>
      <w:r>
        <w:br w:type="page"/>
      </w:r>
    </w:p>
    <w:p>
      <w:pPr>
        <w:keepNext/>
        <w:spacing w:before="240" w:after="100"/>
        <w:pBdr>
          <w:bottom w:val="single" w:sz="8" w:space="3" w:color="B18A3E"/>
        </w:pBdr>
      </w:pPr>
      <w:r>
        <w:rPr>
          <w:rFonts w:ascii="Calibri" w:hAnsi="Calibri"/>
          <w:b/>
          <w:i w:val="0"/>
          <w:color w:val="0E2A47"/>
          <w:sz w:val="24"/>
        </w:rPr>
        <w:t>SCHEDULE 1 — EXISTING SHAREHOLDING (AS AT THE EFFECTIVE DATE)</w:t>
      </w:r>
    </w:p>
    <w:tbl>
      <w:tblPr>
        <w:tblStyle w:val="TableGrid"/>
        <w:tblW w:type="auto" w:w="0"/>
        <w:jc w:val="center"/>
        <w:tblLook w:firstColumn="1" w:firstRow="1" w:lastColumn="0" w:lastRow="0" w:noHBand="0" w:noVBand="1" w:val="04A0"/>
      </w:tblPr>
      <w:tblGrid>
        <w:gridCol w:w="3072"/>
        <w:gridCol w:w="3072"/>
        <w:gridCol w:w="3072"/>
      </w:tblGrid>
      <w:tr>
        <w:tc>
          <w:tcPr>
            <w:tcW w:type="dxa" w:w="3744"/>
            <w:shd w:val="clear" w:color="auto" w:fill="0E2A47"/>
          </w:tcPr>
          <w:p>
            <w:pPr>
              <w:spacing w:before="0" w:after="0"/>
              <w:jc w:val="center"/>
            </w:pPr>
            <w:r>
              <w:rPr>
                <w:rFonts w:ascii="Calibri" w:hAnsi="Calibri"/>
                <w:b/>
                <w:i w:val="0"/>
                <w:color w:val="FFFFFF"/>
                <w:sz w:val="19"/>
              </w:rPr>
              <w:t>Shareholder</w:t>
            </w:r>
          </w:p>
        </w:tc>
        <w:tc>
          <w:tcPr>
            <w:tcW w:type="dxa" w:w="2016"/>
            <w:shd w:val="clear" w:color="auto" w:fill="0E2A47"/>
          </w:tcPr>
          <w:p>
            <w:pPr>
              <w:spacing w:before="0" w:after="0"/>
              <w:jc w:val="center"/>
            </w:pPr>
            <w:r>
              <w:rPr>
                <w:rFonts w:ascii="Calibri" w:hAnsi="Calibri"/>
                <w:b/>
                <w:i w:val="0"/>
                <w:color w:val="FFFFFF"/>
                <w:sz w:val="19"/>
              </w:rPr>
              <w:t>Shareholding %</w:t>
            </w:r>
          </w:p>
        </w:tc>
        <w:tc>
          <w:tcPr>
            <w:tcW w:type="dxa" w:w="3744"/>
            <w:shd w:val="clear" w:color="auto" w:fill="0E2A47"/>
          </w:tcPr>
          <w:p>
            <w:pPr>
              <w:spacing w:before="0" w:after="0"/>
              <w:jc w:val="center"/>
            </w:pPr>
            <w:r>
              <w:rPr>
                <w:rFonts w:ascii="Calibri" w:hAnsi="Calibri"/>
                <w:b/>
                <w:i w:val="0"/>
                <w:color w:val="FFFFFF"/>
                <w:sz w:val="19"/>
              </w:rPr>
              <w:t>Role</w:t>
            </w:r>
          </w:p>
        </w:tc>
      </w:tr>
      <w:tr>
        <w:tc>
          <w:tcPr>
            <w:tcW w:type="dxa" w:w="3744"/>
            <w:shd w:val="clear" w:color="auto" w:fill="FFFFFF"/>
          </w:tcPr>
          <w:p>
            <w:pPr>
              <w:spacing w:before="0" w:after="0"/>
              <w:jc w:val="left"/>
            </w:pPr>
            <w:r>
              <w:rPr>
                <w:rFonts w:ascii="Georgia" w:hAnsi="Georgia"/>
                <w:b w:val="0"/>
                <w:i w:val="0"/>
                <w:color w:val="1A1A1A"/>
                <w:sz w:val="19"/>
              </w:rPr>
              <w:t>Podocarpus Real Estate LLC</w:t>
            </w:r>
          </w:p>
        </w:tc>
        <w:tc>
          <w:tcPr>
            <w:tcW w:type="dxa" w:w="2016"/>
            <w:shd w:val="clear" w:color="auto" w:fill="FFFFFF"/>
          </w:tcPr>
          <w:p>
            <w:pPr>
              <w:spacing w:before="0" w:after="0"/>
              <w:jc w:val="center"/>
            </w:pPr>
            <w:r>
              <w:rPr>
                <w:rFonts w:ascii="Georgia" w:hAnsi="Georgia"/>
                <w:b w:val="0"/>
                <w:i w:val="0"/>
                <w:color w:val="1A1A1A"/>
                <w:sz w:val="19"/>
              </w:rPr>
              <w:t>70%</w:t>
            </w:r>
          </w:p>
        </w:tc>
        <w:tc>
          <w:tcPr>
            <w:tcW w:type="dxa" w:w="3744"/>
            <w:shd w:val="clear" w:color="auto" w:fill="FFFFFF"/>
          </w:tcPr>
          <w:p>
            <w:pPr>
              <w:spacing w:before="0" w:after="0"/>
              <w:jc w:val="center"/>
            </w:pPr>
            <w:r>
              <w:rPr>
                <w:rFonts w:ascii="Georgia" w:hAnsi="Georgia"/>
                <w:b w:val="0"/>
                <w:i w:val="0"/>
                <w:color w:val="1A1A1A"/>
                <w:sz w:val="19"/>
              </w:rPr>
              <w:t>Majority shareholder / Transferor</w:t>
            </w:r>
          </w:p>
        </w:tc>
      </w:tr>
      <w:tr>
        <w:tc>
          <w:tcPr>
            <w:tcW w:type="dxa" w:w="3744"/>
            <w:shd w:val="clear" w:color="auto" w:fill="F4F1E8"/>
          </w:tcPr>
          <w:p>
            <w:pPr>
              <w:spacing w:before="0" w:after="0"/>
              <w:jc w:val="left"/>
            </w:pPr>
            <w:r>
              <w:rPr>
                <w:rFonts w:ascii="Georgia" w:hAnsi="Georgia"/>
                <w:b w:val="0"/>
                <w:i w:val="0"/>
                <w:color w:val="1A1A1A"/>
                <w:sz w:val="19"/>
              </w:rPr>
              <w:t>Mr. Yslam Atayev</w:t>
            </w:r>
          </w:p>
        </w:tc>
        <w:tc>
          <w:tcPr>
            <w:tcW w:type="dxa" w:w="2016"/>
            <w:shd w:val="clear" w:color="auto" w:fill="F4F1E8"/>
          </w:tcPr>
          <w:p>
            <w:pPr>
              <w:spacing w:before="0" w:after="0"/>
              <w:jc w:val="center"/>
            </w:pPr>
            <w:r>
              <w:rPr>
                <w:rFonts w:ascii="Georgia" w:hAnsi="Georgia"/>
                <w:b w:val="0"/>
                <w:i w:val="0"/>
                <w:color w:val="1A1A1A"/>
                <w:sz w:val="19"/>
              </w:rPr>
              <w:t>16%</w:t>
            </w:r>
          </w:p>
        </w:tc>
        <w:tc>
          <w:tcPr>
            <w:tcW w:type="dxa" w:w="3744"/>
            <w:shd w:val="clear" w:color="auto" w:fill="F4F1E8"/>
          </w:tcPr>
          <w:p>
            <w:pPr>
              <w:spacing w:before="0" w:after="0"/>
              <w:jc w:val="center"/>
            </w:pPr>
            <w:r>
              <w:rPr>
                <w:rFonts w:ascii="Georgia" w:hAnsi="Georgia"/>
                <w:b w:val="0"/>
                <w:i w:val="0"/>
                <w:color w:val="1A1A1A"/>
                <w:sz w:val="19"/>
              </w:rPr>
              <w:t>Minority shareholder / Transferee (1)</w:t>
            </w:r>
          </w:p>
        </w:tc>
      </w:tr>
      <w:tr>
        <w:tc>
          <w:tcPr>
            <w:tcW w:type="dxa" w:w="3744"/>
            <w:shd w:val="clear" w:color="auto" w:fill="FFFFFF"/>
          </w:tcPr>
          <w:p>
            <w:pPr>
              <w:spacing w:before="0" w:after="0"/>
              <w:jc w:val="left"/>
            </w:pPr>
            <w:r>
              <w:rPr>
                <w:rFonts w:ascii="Georgia" w:hAnsi="Georgia"/>
                <w:b w:val="0"/>
                <w:i w:val="0"/>
                <w:color w:val="1A1A1A"/>
                <w:sz w:val="19"/>
              </w:rPr>
              <w:t>Mr. Orazdurdy Mamiyev</w:t>
            </w:r>
          </w:p>
        </w:tc>
        <w:tc>
          <w:tcPr>
            <w:tcW w:type="dxa" w:w="2016"/>
            <w:shd w:val="clear" w:color="auto" w:fill="FFFFFF"/>
          </w:tcPr>
          <w:p>
            <w:pPr>
              <w:spacing w:before="0" w:after="0"/>
              <w:jc w:val="center"/>
            </w:pPr>
            <w:r>
              <w:rPr>
                <w:rFonts w:ascii="Georgia" w:hAnsi="Georgia"/>
                <w:b w:val="0"/>
                <w:i w:val="0"/>
                <w:color w:val="1A1A1A"/>
                <w:sz w:val="19"/>
              </w:rPr>
              <w:t>14%</w:t>
            </w:r>
          </w:p>
        </w:tc>
        <w:tc>
          <w:tcPr>
            <w:tcW w:type="dxa" w:w="3744"/>
            <w:shd w:val="clear" w:color="auto" w:fill="FFFFFF"/>
          </w:tcPr>
          <w:p>
            <w:pPr>
              <w:spacing w:before="0" w:after="0"/>
              <w:jc w:val="center"/>
            </w:pPr>
            <w:r>
              <w:rPr>
                <w:rFonts w:ascii="Georgia" w:hAnsi="Georgia"/>
                <w:b w:val="0"/>
                <w:i w:val="0"/>
                <w:color w:val="1A1A1A"/>
                <w:sz w:val="19"/>
              </w:rPr>
              <w:t>Minority shareholder / Transferee (2)</w:t>
            </w:r>
          </w:p>
        </w:tc>
      </w:tr>
      <w:tr>
        <w:tc>
          <w:tcPr>
            <w:tcW w:type="dxa" w:w="3744"/>
            <w:shd w:val="clear" w:color="auto" w:fill="E7DFC8"/>
          </w:tcPr>
          <w:p>
            <w:pPr>
              <w:spacing w:before="0" w:after="0"/>
              <w:jc w:val="left"/>
            </w:pPr>
            <w:r>
              <w:rPr>
                <w:rFonts w:ascii="Georgia" w:hAnsi="Georgia"/>
                <w:b/>
                <w:i w:val="0"/>
                <w:color w:val="0E2A47"/>
                <w:sz w:val="19"/>
              </w:rPr>
              <w:t>Total</w:t>
            </w:r>
          </w:p>
        </w:tc>
        <w:tc>
          <w:tcPr>
            <w:tcW w:type="dxa" w:w="2016"/>
            <w:shd w:val="clear" w:color="auto" w:fill="E7DFC8"/>
          </w:tcPr>
          <w:p>
            <w:pPr>
              <w:spacing w:before="0" w:after="0"/>
              <w:jc w:val="center"/>
            </w:pPr>
            <w:r>
              <w:rPr>
                <w:rFonts w:ascii="Georgia" w:hAnsi="Georgia"/>
                <w:b/>
                <w:i w:val="0"/>
                <w:color w:val="0E2A47"/>
                <w:sz w:val="19"/>
              </w:rPr>
              <w:t>100%</w:t>
            </w:r>
          </w:p>
        </w:tc>
        <w:tc>
          <w:tcPr>
            <w:tcW w:type="dxa" w:w="3744"/>
            <w:shd w:val="clear" w:color="auto" w:fill="E7DFC8"/>
          </w:tcPr>
          <w:p>
            <w:pPr>
              <w:spacing w:before="0" w:after="0"/>
              <w:jc w:val="center"/>
            </w:pPr>
            <w:r>
              <w:rPr>
                <w:rFonts w:ascii="Georgia" w:hAnsi="Georgia"/>
                <w:b/>
                <w:i w:val="0"/>
                <w:color w:val="0E2A47"/>
                <w:sz w:val="19"/>
              </w:rPr>
            </w:r>
          </w:p>
        </w:tc>
      </w:tr>
    </w:tbl>
    <w:p>
      <w:pPr>
        <w:keepNext/>
        <w:spacing w:before="240" w:after="100"/>
        <w:pBdr>
          <w:bottom w:val="single" w:sz="8" w:space="3" w:color="B18A3E"/>
        </w:pBdr>
      </w:pPr>
      <w:r>
        <w:rPr>
          <w:rFonts w:ascii="Calibri" w:hAnsi="Calibri"/>
          <w:b/>
          <w:i w:val="0"/>
          <w:color w:val="0E2A47"/>
          <w:sz w:val="24"/>
        </w:rPr>
        <w:t>SCHEDULE 2 — DETERMINATION OF THE PERFORMANCE THRESHOLD</w:t>
      </w:r>
    </w:p>
    <w:p>
      <w:pPr>
        <w:spacing w:after="120"/>
        <w:jc w:val="both"/>
      </w:pPr>
      <w:r>
        <w:rPr>
          <w:rFonts w:ascii="Georgia" w:hAnsi="Georgia"/>
          <w:b w:val="0"/>
          <w:i w:val="0"/>
          <w:color w:val="1A1A1A"/>
          <w:sz w:val="21"/>
        </w:rPr>
      </w:r>
      <w:r>
        <w:rPr>
          <w:rFonts w:ascii="Georgia" w:hAnsi="Georgia"/>
          <w:b/>
          <w:i w:val="0"/>
          <w:color w:val="1A1A1A"/>
          <w:sz w:val="21"/>
        </w:rPr>
        <w:t>1. Definition of Cumulative Gross Profit.</w:t>
      </w:r>
      <w:r>
        <w:rPr>
          <w:rFonts w:ascii="Georgia" w:hAnsi="Georgia"/>
          <w:b w:val="0"/>
          <w:i w:val="0"/>
          <w:color w:val="1A1A1A"/>
          <w:sz w:val="21"/>
        </w:rPr>
        <w:t xml:space="preserve"> “Cumulative Gross Profit” means, as at any date of measurement, the aggregate of the Company’s gross profit accumulated from the commencement of the Company’s operations to that date, where gross profit for any period equals </w:t>
      </w:r>
      <w:r>
        <w:rPr>
          <w:rFonts w:ascii="Georgia" w:hAnsi="Georgia"/>
          <w:b/>
          <w:i w:val="0"/>
          <w:color w:val="1A1A1A"/>
          <w:sz w:val="21"/>
        </w:rPr>
        <w:t>total revenue actually realised and received by the Company</w:t>
      </w:r>
      <w:r>
        <w:rPr>
          <w:rFonts w:ascii="Georgia" w:hAnsi="Georgia"/>
          <w:b w:val="0"/>
          <w:i w:val="0"/>
          <w:color w:val="1A1A1A"/>
          <w:sz w:val="21"/>
        </w:rPr>
        <w:t xml:space="preserve"> in respect of its holiday-homes / short-term rental and related activities, </w:t>
      </w:r>
      <w:r>
        <w:rPr>
          <w:rFonts w:ascii="Georgia" w:hAnsi="Georgia"/>
          <w:b/>
          <w:i w:val="0"/>
          <w:color w:val="1A1A1A"/>
          <w:sz w:val="21"/>
        </w:rPr>
        <w:t>less the direct cost of generating that revenue</w:t>
      </w:r>
      <w:r>
        <w:rPr>
          <w:rFonts w:ascii="Georgia" w:hAnsi="Georgia"/>
          <w:b w:val="0"/>
          <w:i w:val="0"/>
          <w:color w:val="1A1A1A"/>
          <w:sz w:val="21"/>
        </w:rPr>
        <w:t xml:space="preserve"> (including owner payouts, OTA / platform commissions, cleaning, maintenance, utilities directly attributable to operated units, and similar direct costs).</w:t>
      </w:r>
    </w:p>
    <w:p>
      <w:pPr>
        <w:spacing w:after="120"/>
        <w:jc w:val="both"/>
      </w:pPr>
      <w:r>
        <w:rPr>
          <w:rFonts w:ascii="Georgia" w:hAnsi="Georgia"/>
          <w:b w:val="0"/>
          <w:i w:val="0"/>
          <w:color w:val="1A1A1A"/>
          <w:sz w:val="21"/>
        </w:rPr>
      </w:r>
      <w:r>
        <w:rPr>
          <w:rFonts w:ascii="Georgia" w:hAnsi="Georgia"/>
          <w:b/>
          <w:i w:val="0"/>
          <w:color w:val="1A1A1A"/>
          <w:sz w:val="21"/>
        </w:rPr>
        <w:t>2. Threshold composition.</w:t>
      </w:r>
      <w:r>
        <w:rPr>
          <w:rFonts w:ascii="Georgia" w:hAnsi="Georgia"/>
          <w:b w:val="0"/>
          <w:i w:val="0"/>
          <w:color w:val="1A1A1A"/>
          <w:sz w:val="21"/>
        </w:rPr>
        <w:t xml:space="preserve"> The Performance Threshold is satisfied when Cumulative Gross Profit first equals or exceeds </w:t>
      </w:r>
      <w:r>
        <w:rPr>
          <w:rFonts w:ascii="Georgia" w:hAnsi="Georgia"/>
          <w:b/>
          <w:i w:val="0"/>
          <w:color w:val="1A1A1A"/>
          <w:sz w:val="21"/>
        </w:rPr>
        <w:t>AED 400,000</w:t>
      </w:r>
      <w:r>
        <w:rPr>
          <w:rFonts w:ascii="Georgia" w:hAnsi="Georgia"/>
          <w:b w:val="0"/>
          <w:i w:val="0"/>
          <w:color w:val="1A1A1A"/>
          <w:sz w:val="21"/>
        </w:rPr>
        <w:t>, deemed to comprise:</w:t>
      </w:r>
    </w:p>
    <w:tbl>
      <w:tblPr>
        <w:tblStyle w:val="TableGrid"/>
        <w:tblW w:type="auto" w:w="0"/>
        <w:jc w:val="center"/>
        <w:tblLook w:firstColumn="1" w:firstRow="1" w:lastColumn="0" w:lastRow="0" w:noHBand="0" w:noVBand="1" w:val="04A0"/>
      </w:tblPr>
      <w:tblGrid>
        <w:gridCol w:w="3072"/>
        <w:gridCol w:w="3072"/>
        <w:gridCol w:w="3072"/>
      </w:tblGrid>
      <w:tr>
        <w:tc>
          <w:tcPr>
            <w:tcW w:type="dxa" w:w="3312"/>
            <w:shd w:val="clear" w:color="auto" w:fill="0E2A47"/>
          </w:tcPr>
          <w:p>
            <w:pPr>
              <w:spacing w:before="0" w:after="0"/>
              <w:jc w:val="center"/>
            </w:pPr>
            <w:r>
              <w:rPr>
                <w:rFonts w:ascii="Calibri" w:hAnsi="Calibri"/>
                <w:b/>
                <w:i w:val="0"/>
                <w:color w:val="FFFFFF"/>
                <w:sz w:val="19"/>
              </w:rPr>
              <w:t>Component</w:t>
            </w:r>
          </w:p>
        </w:tc>
        <w:tc>
          <w:tcPr>
            <w:tcW w:type="dxa" w:w="2304"/>
            <w:shd w:val="clear" w:color="auto" w:fill="0E2A47"/>
          </w:tcPr>
          <w:p>
            <w:pPr>
              <w:spacing w:before="0" w:after="0"/>
              <w:jc w:val="center"/>
            </w:pPr>
            <w:r>
              <w:rPr>
                <w:rFonts w:ascii="Calibri" w:hAnsi="Calibri"/>
                <w:b/>
                <w:i w:val="0"/>
                <w:color w:val="FFFFFF"/>
                <w:sz w:val="19"/>
              </w:rPr>
              <w:t>Amount (AED)</w:t>
            </w:r>
          </w:p>
        </w:tc>
        <w:tc>
          <w:tcPr>
            <w:tcW w:type="dxa" w:w="3888"/>
            <w:shd w:val="clear" w:color="auto" w:fill="0E2A47"/>
          </w:tcPr>
          <w:p>
            <w:pPr>
              <w:spacing w:before="0" w:after="0"/>
              <w:jc w:val="center"/>
            </w:pPr>
            <w:r>
              <w:rPr>
                <w:rFonts w:ascii="Calibri" w:hAnsi="Calibri"/>
                <w:b/>
                <w:i w:val="0"/>
                <w:color w:val="FFFFFF"/>
                <w:sz w:val="19"/>
              </w:rPr>
              <w:t>Purpose</w:t>
            </w:r>
          </w:p>
        </w:tc>
      </w:tr>
      <w:tr>
        <w:tc>
          <w:tcPr>
            <w:tcW w:type="dxa" w:w="3312"/>
            <w:shd w:val="clear" w:color="auto" w:fill="FFFFFF"/>
          </w:tcPr>
          <w:p>
            <w:pPr>
              <w:spacing w:before="0" w:after="0"/>
              <w:jc w:val="left"/>
            </w:pPr>
            <w:r>
              <w:rPr>
                <w:rFonts w:ascii="Georgia" w:hAnsi="Georgia"/>
                <w:b w:val="0"/>
                <w:i w:val="0"/>
                <w:color w:val="1A1A1A"/>
                <w:sz w:val="19"/>
              </w:rPr>
              <w:t>Capital Recovery Amount</w:t>
            </w:r>
          </w:p>
        </w:tc>
        <w:tc>
          <w:tcPr>
            <w:tcW w:type="dxa" w:w="2304"/>
            <w:shd w:val="clear" w:color="auto" w:fill="FFFFFF"/>
          </w:tcPr>
          <w:p>
            <w:pPr>
              <w:spacing w:before="0" w:after="0"/>
              <w:jc w:val="center"/>
            </w:pPr>
            <w:r>
              <w:rPr>
                <w:rFonts w:ascii="Georgia" w:hAnsi="Georgia"/>
                <w:b w:val="0"/>
                <w:i w:val="0"/>
                <w:color w:val="1A1A1A"/>
                <w:sz w:val="19"/>
              </w:rPr>
              <w:t>200,000</w:t>
            </w:r>
          </w:p>
        </w:tc>
        <w:tc>
          <w:tcPr>
            <w:tcW w:type="dxa" w:w="3888"/>
            <w:shd w:val="clear" w:color="auto" w:fill="FFFFFF"/>
          </w:tcPr>
          <w:p>
            <w:pPr>
              <w:spacing w:before="0" w:after="0"/>
              <w:jc w:val="center"/>
            </w:pPr>
            <w:r>
              <w:rPr>
                <w:rFonts w:ascii="Georgia" w:hAnsi="Georgia"/>
                <w:b w:val="0"/>
                <w:i w:val="0"/>
                <w:color w:val="1A1A1A"/>
                <w:sz w:val="19"/>
              </w:rPr>
              <w:t>Full recovery of the Initial Capital of AED 200,000</w:t>
            </w:r>
          </w:p>
        </w:tc>
      </w:tr>
      <w:tr>
        <w:tc>
          <w:tcPr>
            <w:tcW w:type="dxa" w:w="3312"/>
            <w:shd w:val="clear" w:color="auto" w:fill="F4F1E8"/>
          </w:tcPr>
          <w:p>
            <w:pPr>
              <w:spacing w:before="0" w:after="0"/>
              <w:jc w:val="left"/>
            </w:pPr>
            <w:r>
              <w:rPr>
                <w:rFonts w:ascii="Georgia" w:hAnsi="Georgia"/>
                <w:b w:val="0"/>
                <w:i w:val="0"/>
                <w:color w:val="1A1A1A"/>
                <w:sz w:val="19"/>
              </w:rPr>
              <w:t>Surplus Profit Amount</w:t>
            </w:r>
          </w:p>
        </w:tc>
        <w:tc>
          <w:tcPr>
            <w:tcW w:type="dxa" w:w="2304"/>
            <w:shd w:val="clear" w:color="auto" w:fill="F4F1E8"/>
          </w:tcPr>
          <w:p>
            <w:pPr>
              <w:spacing w:before="0" w:after="0"/>
              <w:jc w:val="center"/>
            </w:pPr>
            <w:r>
              <w:rPr>
                <w:rFonts w:ascii="Georgia" w:hAnsi="Georgia"/>
                <w:b w:val="0"/>
                <w:i w:val="0"/>
                <w:color w:val="1A1A1A"/>
                <w:sz w:val="19"/>
              </w:rPr>
              <w:t>200,000</w:t>
            </w:r>
          </w:p>
        </w:tc>
        <w:tc>
          <w:tcPr>
            <w:tcW w:type="dxa" w:w="3888"/>
            <w:shd w:val="clear" w:color="auto" w:fill="F4F1E8"/>
          </w:tcPr>
          <w:p>
            <w:pPr>
              <w:spacing w:before="0" w:after="0"/>
              <w:jc w:val="center"/>
            </w:pPr>
            <w:r>
              <w:rPr>
                <w:rFonts w:ascii="Georgia" w:hAnsi="Georgia"/>
                <w:b w:val="0"/>
                <w:i w:val="0"/>
                <w:color w:val="1A1A1A"/>
                <w:sz w:val="19"/>
              </w:rPr>
              <w:t>Additional profit generated for the Company</w:t>
            </w:r>
          </w:p>
        </w:tc>
      </w:tr>
      <w:tr>
        <w:tc>
          <w:tcPr>
            <w:tcW w:type="dxa" w:w="3312"/>
            <w:shd w:val="clear" w:color="auto" w:fill="E7DFC8"/>
          </w:tcPr>
          <w:p>
            <w:pPr>
              <w:spacing w:before="0" w:after="0"/>
              <w:jc w:val="left"/>
            </w:pPr>
            <w:r>
              <w:rPr>
                <w:rFonts w:ascii="Georgia" w:hAnsi="Georgia"/>
                <w:b/>
                <w:i w:val="0"/>
                <w:color w:val="0E2A47"/>
                <w:sz w:val="19"/>
              </w:rPr>
              <w:t>Performance Threshold</w:t>
            </w:r>
          </w:p>
        </w:tc>
        <w:tc>
          <w:tcPr>
            <w:tcW w:type="dxa" w:w="2304"/>
            <w:shd w:val="clear" w:color="auto" w:fill="E7DFC8"/>
          </w:tcPr>
          <w:p>
            <w:pPr>
              <w:spacing w:before="0" w:after="0"/>
              <w:jc w:val="center"/>
            </w:pPr>
            <w:r>
              <w:rPr>
                <w:rFonts w:ascii="Georgia" w:hAnsi="Georgia"/>
                <w:b/>
                <w:i w:val="0"/>
                <w:color w:val="0E2A47"/>
                <w:sz w:val="19"/>
              </w:rPr>
              <w:t>400,000</w:t>
            </w:r>
          </w:p>
        </w:tc>
        <w:tc>
          <w:tcPr>
            <w:tcW w:type="dxa" w:w="3888"/>
            <w:shd w:val="clear" w:color="auto" w:fill="E7DFC8"/>
          </w:tcPr>
          <w:p>
            <w:pPr>
              <w:spacing w:before="0" w:after="0"/>
              <w:jc w:val="center"/>
            </w:pPr>
            <w:r>
              <w:rPr>
                <w:rFonts w:ascii="Georgia" w:hAnsi="Georgia"/>
                <w:b/>
                <w:i w:val="0"/>
                <w:color w:val="0E2A47"/>
                <w:sz w:val="19"/>
              </w:rPr>
              <w:t>Trigger Event arises</w:t>
            </w:r>
          </w:p>
        </w:tc>
      </w:tr>
    </w:tbl>
    <w:p>
      <w:pPr>
        <w:spacing w:after="80"/>
        <w:jc w:val="both"/>
      </w:pPr>
      <w:r>
        <w:rPr>
          <w:rFonts w:ascii="Georgia" w:hAnsi="Georgia"/>
          <w:b w:val="0"/>
          <w:i w:val="0"/>
          <w:color w:val="1A1A1A"/>
          <w:sz w:val="21"/>
        </w:rPr>
      </w:r>
      <w:r>
        <w:rPr>
          <w:rFonts w:ascii="Georgia" w:hAnsi="Georgia"/>
          <w:b/>
          <w:i w:val="0"/>
          <w:color w:val="1A1A1A"/>
          <w:sz w:val="21"/>
        </w:rPr>
        <w:t>3. Measurement.</w:t>
      </w:r>
      <w:r>
        <w:rPr>
          <w:rFonts w:ascii="Georgia" w:hAnsi="Georgia"/>
          <w:b w:val="0"/>
          <w:i w:val="0"/>
          <w:color w:val="1A1A1A"/>
          <w:sz w:val="21"/>
        </w:rPr>
        <w:t xml:space="preserve"> Cumulative Gross Profit shall be determined from the Company’s books and records and certified by the Company’s accountant or auditor in the Threshold Certificate. The Founder may require independent verification under Clause 3.4. There is </w:t>
      </w:r>
      <w:r>
        <w:rPr>
          <w:rFonts w:ascii="Georgia" w:hAnsi="Georgia"/>
          <w:b/>
          <w:i w:val="0"/>
          <w:color w:val="1A1A1A"/>
          <w:sz w:val="21"/>
        </w:rPr>
        <w:t>no fixed deadline</w:t>
      </w:r>
      <w:r>
        <w:rPr>
          <w:rFonts w:ascii="Georgia" w:hAnsi="Georgia"/>
          <w:b w:val="0"/>
          <w:i w:val="0"/>
          <w:color w:val="1A1A1A"/>
          <w:sz w:val="21"/>
        </w:rPr>
        <w:t xml:space="preserve"> for achieving the Performance Threshold.</w:t>
      </w:r>
    </w:p>
    <w:p>
      <w:pPr>
        <w:spacing w:after="80"/>
        <w:jc w:val="both"/>
      </w:pPr>
      <w:r>
        <w:rPr>
          <w:rFonts w:ascii="Georgia" w:hAnsi="Georgia"/>
          <w:b w:val="0"/>
          <w:i w:val="0"/>
          <w:color w:val="1A1A1A"/>
          <w:sz w:val="21"/>
        </w:rPr>
      </w:r>
      <w:r>
        <w:rPr>
          <w:rFonts w:ascii="Georgia" w:hAnsi="Georgia"/>
          <w:b/>
          <w:i w:val="0"/>
          <w:color w:val="1A1A1A"/>
          <w:sz w:val="21"/>
        </w:rPr>
        <w:t>4. Adjustments.</w:t>
      </w:r>
      <w:r>
        <w:rPr>
          <w:rFonts w:ascii="Georgia" w:hAnsi="Georgia"/>
          <w:b w:val="0"/>
          <w:i w:val="0"/>
          <w:color w:val="1A1A1A"/>
          <w:sz w:val="21"/>
        </w:rPr>
        <w:t xml:space="preserve"> Extraordinary, non-recurring or non-operating items may be excluded from the calculation at the reasonable determination of the Founder, acting in good faith, to ensure the figure reflects genuine operating performance.</w:t>
      </w:r>
    </w:p>
    <w:p>
      <w:pPr>
        <w:keepNext/>
        <w:spacing w:before="240" w:after="100"/>
        <w:pBdr>
          <w:bottom w:val="single" w:sz="8" w:space="3" w:color="B18A3E"/>
        </w:pBdr>
      </w:pPr>
      <w:r>
        <w:rPr>
          <w:rFonts w:ascii="Calibri" w:hAnsi="Calibri"/>
          <w:b/>
          <w:i w:val="0"/>
          <w:color w:val="0E2A47"/>
          <w:sz w:val="24"/>
        </w:rPr>
        <w:t>SCHEDULE 3 — FORM OF ALLOCATION NOTICE</w:t>
      </w:r>
    </w:p>
    <w:p>
      <w:pPr>
        <w:spacing w:after="160"/>
        <w:jc w:val="both"/>
      </w:pPr>
      <w:r>
        <w:rPr>
          <w:rFonts w:ascii="Georgia" w:hAnsi="Georgia"/>
          <w:b w:val="0"/>
          <w:i/>
          <w:color w:val="555555"/>
          <w:sz w:val="21"/>
        </w:rPr>
        <w:t>[On the letterhead of Podocarpus Real Estate LLC]</w:t>
      </w:r>
    </w:p>
    <w:p>
      <w:pPr>
        <w:spacing w:after="120"/>
      </w:pPr>
      <w:r>
        <w:rPr>
          <w:rFonts w:ascii="Georgia" w:hAnsi="Georgia"/>
          <w:b w:val="0"/>
          <w:i w:val="0"/>
          <w:color w:val="1A1A1A"/>
          <w:sz w:val="21"/>
        </w:rPr>
      </w:r>
      <w:r>
        <w:rPr>
          <w:rFonts w:ascii="Georgia" w:hAnsi="Georgia"/>
          <w:b/>
          <w:i w:val="0"/>
          <w:color w:val="1A1A1A"/>
          <w:sz w:val="21"/>
        </w:rPr>
        <w:t>ALLOCATION NOTICE</w:t>
      </w:r>
      <w:r>
        <w:rPr>
          <w:rFonts w:ascii="Georgia" w:hAnsi="Georgia"/>
          <w:b w:val="0"/>
          <w:i w:val="0"/>
          <w:color w:val="1A1A1A"/>
          <w:sz w:val="21"/>
        </w:rPr>
      </w:r>
    </w:p>
    <w:p>
      <w:pPr>
        <w:spacing w:after="80"/>
      </w:pPr>
      <w:r>
        <w:rPr>
          <w:rFonts w:ascii="Georgia" w:hAnsi="Georgia"/>
          <w:b w:val="0"/>
          <w:i w:val="0"/>
          <w:color w:val="1A1A1A"/>
          <w:sz w:val="21"/>
        </w:rPr>
        <w:t>Date: ____ / ____ / 20____</w:t>
      </w:r>
    </w:p>
    <w:p>
      <w:pPr>
        <w:spacing w:after="160"/>
        <w:jc w:val="both"/>
      </w:pPr>
      <w:r>
        <w:rPr>
          <w:rFonts w:ascii="Georgia" w:hAnsi="Georgia"/>
          <w:b w:val="0"/>
          <w:i w:val="0"/>
          <w:color w:val="1A1A1A"/>
          <w:sz w:val="21"/>
        </w:rPr>
        <w:t>To: Mr. Yslam Atayev and Mr. Orazdurdy Mamiyev, and to Orizuru Holiday Homes LLC.</w:t>
      </w:r>
    </w:p>
    <w:p>
      <w:pPr>
        <w:spacing w:after="120"/>
        <w:jc w:val="both"/>
      </w:pPr>
      <w:r>
        <w:rPr>
          <w:rFonts w:ascii="Georgia" w:hAnsi="Georgia"/>
          <w:b w:val="0"/>
          <w:i w:val="0"/>
          <w:color w:val="1A1A1A"/>
          <w:sz w:val="21"/>
        </w:rPr>
        <w:t>We refer to the Share Transfer Agreement dated ____ / ____ / 20____ (the “Agreement”). Capitalised terms used in this notice have the meanings given in the Agreement.</w:t>
      </w:r>
    </w:p>
    <w:p>
      <w:pPr>
        <w:spacing w:after="160"/>
        <w:jc w:val="both"/>
      </w:pPr>
      <w:r>
        <w:rPr>
          <w:rFonts w:ascii="Georgia" w:hAnsi="Georgia"/>
          <w:b w:val="0"/>
          <w:i w:val="0"/>
          <w:color w:val="1A1A1A"/>
          <w:sz w:val="21"/>
        </w:rPr>
        <w:t>We confirm that the Trigger Event has occurred. Pursuant to Clauses 4 and 5 of the Agreement, the Founder has determined, in the Founder’s absolute and sole discretion and according to the respective performance of the Transferees, that the Transfer Shares (aggregating 21%) shall be allocated as follows:</w:t>
      </w:r>
    </w:p>
    <w:tbl>
      <w:tblPr>
        <w:tblStyle w:val="TableGrid"/>
        <w:tblW w:type="auto" w:w="0"/>
        <w:jc w:val="center"/>
        <w:tblLook w:firstColumn="1" w:firstRow="1" w:lastColumn="0" w:lastRow="0" w:noHBand="0" w:noVBand="1" w:val="04A0"/>
      </w:tblPr>
      <w:tblGrid>
        <w:gridCol w:w="4608"/>
        <w:gridCol w:w="4608"/>
      </w:tblGrid>
      <w:tr>
        <w:tc>
          <w:tcPr>
            <w:tcW w:type="dxa" w:w="4896"/>
            <w:shd w:val="clear" w:color="auto" w:fill="0E2A47"/>
          </w:tcPr>
          <w:p>
            <w:pPr>
              <w:spacing w:before="0" w:after="0"/>
              <w:jc w:val="center"/>
            </w:pPr>
            <w:r>
              <w:rPr>
                <w:rFonts w:ascii="Calibri" w:hAnsi="Calibri"/>
                <w:b/>
                <w:i w:val="0"/>
                <w:color w:val="FFFFFF"/>
                <w:sz w:val="19"/>
              </w:rPr>
              <w:t>Transferee</w:t>
            </w:r>
          </w:p>
        </w:tc>
        <w:tc>
          <w:tcPr>
            <w:tcW w:type="dxa" w:w="4320"/>
            <w:shd w:val="clear" w:color="auto" w:fill="0E2A47"/>
          </w:tcPr>
          <w:p>
            <w:pPr>
              <w:spacing w:before="0" w:after="0"/>
              <w:jc w:val="center"/>
            </w:pPr>
            <w:r>
              <w:rPr>
                <w:rFonts w:ascii="Calibri" w:hAnsi="Calibri"/>
                <w:b/>
                <w:i w:val="0"/>
                <w:color w:val="FFFFFF"/>
                <w:sz w:val="19"/>
              </w:rPr>
              <w:t>% of Company allocated (out of 21%)</w:t>
            </w:r>
          </w:p>
        </w:tc>
      </w:tr>
      <w:tr>
        <w:tc>
          <w:tcPr>
            <w:tcW w:type="dxa" w:w="4896"/>
            <w:shd w:val="clear" w:color="auto" w:fill="FFFFFF"/>
          </w:tcPr>
          <w:p>
            <w:pPr>
              <w:spacing w:before="0" w:after="0"/>
              <w:jc w:val="left"/>
            </w:pPr>
            <w:r>
              <w:rPr>
                <w:rFonts w:ascii="Georgia" w:hAnsi="Georgia"/>
                <w:b w:val="0"/>
                <w:i w:val="0"/>
                <w:color w:val="1A1A1A"/>
                <w:sz w:val="19"/>
              </w:rPr>
              <w:t>Mr. Yslam Atayev</w:t>
            </w:r>
          </w:p>
        </w:tc>
        <w:tc>
          <w:tcPr>
            <w:tcW w:type="dxa" w:w="4320"/>
            <w:shd w:val="clear" w:color="auto" w:fill="FFFFFF"/>
          </w:tcPr>
          <w:p>
            <w:pPr>
              <w:spacing w:before="0" w:after="0"/>
              <w:jc w:val="center"/>
            </w:pPr>
            <w:r>
              <w:rPr>
                <w:rFonts w:ascii="Georgia" w:hAnsi="Georgia"/>
                <w:b w:val="0"/>
                <w:i w:val="0"/>
                <w:color w:val="1A1A1A"/>
                <w:sz w:val="19"/>
              </w:rPr>
              <w:t>________ %</w:t>
            </w:r>
          </w:p>
        </w:tc>
      </w:tr>
      <w:tr>
        <w:tc>
          <w:tcPr>
            <w:tcW w:type="dxa" w:w="4896"/>
            <w:shd w:val="clear" w:color="auto" w:fill="F4F1E8"/>
          </w:tcPr>
          <w:p>
            <w:pPr>
              <w:spacing w:before="0" w:after="0"/>
              <w:jc w:val="left"/>
            </w:pPr>
            <w:r>
              <w:rPr>
                <w:rFonts w:ascii="Georgia" w:hAnsi="Georgia"/>
                <w:b w:val="0"/>
                <w:i w:val="0"/>
                <w:color w:val="1A1A1A"/>
                <w:sz w:val="19"/>
              </w:rPr>
              <w:t>Mr. Orazdurdy Mamiyev</w:t>
            </w:r>
          </w:p>
        </w:tc>
        <w:tc>
          <w:tcPr>
            <w:tcW w:type="dxa" w:w="4320"/>
            <w:shd w:val="clear" w:color="auto" w:fill="F4F1E8"/>
          </w:tcPr>
          <w:p>
            <w:pPr>
              <w:spacing w:before="0" w:after="0"/>
              <w:jc w:val="center"/>
            </w:pPr>
            <w:r>
              <w:rPr>
                <w:rFonts w:ascii="Georgia" w:hAnsi="Georgia"/>
                <w:b w:val="0"/>
                <w:i w:val="0"/>
                <w:color w:val="1A1A1A"/>
                <w:sz w:val="19"/>
              </w:rPr>
              <w:t>________ %</w:t>
            </w:r>
          </w:p>
        </w:tc>
      </w:tr>
      <w:tr>
        <w:tc>
          <w:tcPr>
            <w:tcW w:type="dxa" w:w="4896"/>
            <w:shd w:val="clear" w:color="auto" w:fill="E7DFC8"/>
          </w:tcPr>
          <w:p>
            <w:pPr>
              <w:spacing w:before="0" w:after="0"/>
              <w:jc w:val="left"/>
            </w:pPr>
            <w:r>
              <w:rPr>
                <w:rFonts w:ascii="Georgia" w:hAnsi="Georgia"/>
                <w:b/>
                <w:i w:val="0"/>
                <w:color w:val="0E2A47"/>
                <w:sz w:val="19"/>
              </w:rPr>
              <w:t>Total transferred</w:t>
            </w:r>
          </w:p>
        </w:tc>
        <w:tc>
          <w:tcPr>
            <w:tcW w:type="dxa" w:w="4320"/>
            <w:shd w:val="clear" w:color="auto" w:fill="E7DFC8"/>
          </w:tcPr>
          <w:p>
            <w:pPr>
              <w:spacing w:before="0" w:after="0"/>
              <w:jc w:val="center"/>
            </w:pPr>
            <w:r>
              <w:rPr>
                <w:rFonts w:ascii="Georgia" w:hAnsi="Georgia"/>
                <w:b/>
                <w:i w:val="0"/>
                <w:color w:val="0E2A47"/>
                <w:sz w:val="19"/>
              </w:rPr>
              <w:t>21%</w:t>
            </w:r>
          </w:p>
        </w:tc>
      </w:tr>
    </w:tbl>
    <w:p>
      <w:pPr>
        <w:spacing w:after="200"/>
        <w:jc w:val="both"/>
      </w:pPr>
      <w:r>
        <w:rPr>
          <w:rFonts w:ascii="Georgia" w:hAnsi="Georgia"/>
          <w:b w:val="0"/>
          <w:i w:val="0"/>
          <w:color w:val="1A1A1A"/>
          <w:sz w:val="21"/>
        </w:rPr>
        <w:t>This Allocation Notice is final and binding in accordance with Clause 4.3 of the Agreement. The Parties shall proceed to Completion in accordance with Clause 6.</w:t>
      </w:r>
    </w:p>
    <w:p>
      <w:pPr>
        <w:spacing w:after="200"/>
        <w:jc w:val="both"/>
      </w:pPr>
      <w:r>
        <w:rPr>
          <w:rFonts w:ascii="Georgia" w:hAnsi="Georgia"/>
          <w:b w:val="0"/>
          <w:i w:val="0"/>
          <w:color w:val="1A1A1A"/>
          <w:sz w:val="21"/>
        </w:rPr>
        <w:t>Signed for and on behalf of the Founder / Podocarpus Real Estate LLC:</w:t>
      </w:r>
    </w:p>
    <w:p>
      <w:pPr>
        <w:spacing w:after="80"/>
      </w:pPr>
      <w:r>
        <w:rPr>
          <w:rFonts w:ascii="Georgia" w:hAnsi="Georgia"/>
          <w:b w:val="0"/>
          <w:i w:val="0"/>
          <w:color w:val="1A1A1A"/>
          <w:sz w:val="21"/>
        </w:rPr>
        <w:t>____________________________________        Name: ____________________________</w:t>
      </w:r>
    </w:p>
    <w:p>
      <w:pPr>
        <w:keepNext/>
        <w:spacing w:before="240" w:after="100"/>
        <w:pBdr>
          <w:bottom w:val="single" w:sz="8" w:space="3" w:color="B18A3E"/>
        </w:pBdr>
      </w:pPr>
      <w:r>
        <w:rPr>
          <w:rFonts w:ascii="Calibri" w:hAnsi="Calibri"/>
          <w:b/>
          <w:i w:val="0"/>
          <w:color w:val="0E2A47"/>
          <w:sz w:val="24"/>
        </w:rPr>
        <w:t>SCHEDULE 4 — ILLUSTRATIVE RESULTING SHAREHOLDING (NON-BINDING)</w:t>
      </w:r>
    </w:p>
    <w:p>
      <w:pPr>
        <w:spacing w:after="160"/>
        <w:jc w:val="both"/>
      </w:pPr>
      <w:r>
        <w:rPr>
          <w:rFonts w:ascii="Georgia" w:hAnsi="Georgia"/>
          <w:b w:val="0"/>
          <w:i w:val="0"/>
          <w:color w:val="1A1A1A"/>
          <w:sz w:val="21"/>
        </w:rPr>
        <w:t>The following scenarios are illustrative only and do not bind or fetter the Founder’s discretion under Clause 4. In every case Podocarpus moves from 70% to 49% (a reduction of 21%).</w:t>
      </w:r>
    </w:p>
    <w:p>
      <w:pPr>
        <w:spacing w:after="80"/>
      </w:pPr>
      <w:r>
        <w:rPr>
          <w:rFonts w:ascii="Georgia" w:hAnsi="Georgia"/>
          <w:b w:val="0"/>
          <w:i w:val="0"/>
          <w:color w:val="1A1A1A"/>
          <w:sz w:val="21"/>
        </w:rPr>
      </w:r>
      <w:r>
        <w:rPr>
          <w:rFonts w:ascii="Georgia" w:hAnsi="Georgia"/>
          <w:b/>
          <w:i w:val="0"/>
          <w:color w:val="1A1A1A"/>
          <w:sz w:val="21"/>
        </w:rPr>
        <w:t>Scenario A — Split proportional to existing holdings (16:14):</w:t>
      </w:r>
      <w:r>
        <w:rPr>
          <w:rFonts w:ascii="Georgia" w:hAnsi="Georgia"/>
          <w:b w:val="0"/>
          <w:i w:val="0"/>
          <w:color w:val="1A1A1A"/>
          <w:sz w:val="21"/>
        </w:rPr>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4032"/>
            <w:shd w:val="clear" w:color="auto" w:fill="0E2A47"/>
          </w:tcPr>
          <w:p>
            <w:pPr>
              <w:spacing w:before="0" w:after="0"/>
              <w:jc w:val="center"/>
            </w:pPr>
            <w:r>
              <w:rPr>
                <w:rFonts w:ascii="Calibri" w:hAnsi="Calibri"/>
                <w:b/>
                <w:i w:val="0"/>
                <w:color w:val="FFFFFF"/>
                <w:sz w:val="19"/>
              </w:rPr>
              <w:t>Shareholder</w:t>
            </w:r>
          </w:p>
        </w:tc>
        <w:tc>
          <w:tcPr>
            <w:tcW w:type="dxa" w:w="1728"/>
            <w:shd w:val="clear" w:color="auto" w:fill="0E2A47"/>
          </w:tcPr>
          <w:p>
            <w:pPr>
              <w:spacing w:before="0" w:after="0"/>
              <w:jc w:val="center"/>
            </w:pPr>
            <w:r>
              <w:rPr>
                <w:rFonts w:ascii="Calibri" w:hAnsi="Calibri"/>
                <w:b/>
                <w:i w:val="0"/>
                <w:color w:val="FFFFFF"/>
                <w:sz w:val="19"/>
              </w:rPr>
              <w:t>Before</w:t>
            </w:r>
          </w:p>
        </w:tc>
        <w:tc>
          <w:tcPr>
            <w:tcW w:type="dxa" w:w="1872"/>
            <w:shd w:val="clear" w:color="auto" w:fill="0E2A47"/>
          </w:tcPr>
          <w:p>
            <w:pPr>
              <w:spacing w:before="0" w:after="0"/>
              <w:jc w:val="center"/>
            </w:pPr>
            <w:r>
              <w:rPr>
                <w:rFonts w:ascii="Calibri" w:hAnsi="Calibri"/>
                <w:b/>
                <w:i w:val="0"/>
                <w:color w:val="FFFFFF"/>
                <w:sz w:val="19"/>
              </w:rPr>
              <w:t>Transfer</w:t>
            </w:r>
          </w:p>
        </w:tc>
        <w:tc>
          <w:tcPr>
            <w:tcW w:type="dxa" w:w="1872"/>
            <w:shd w:val="clear" w:color="auto" w:fill="0E2A47"/>
          </w:tcPr>
          <w:p>
            <w:pPr>
              <w:spacing w:before="0" w:after="0"/>
              <w:jc w:val="center"/>
            </w:pPr>
            <w:r>
              <w:rPr>
                <w:rFonts w:ascii="Calibri" w:hAnsi="Calibri"/>
                <w:b/>
                <w:i w:val="0"/>
                <w:color w:val="FFFFFF"/>
                <w:sz w:val="19"/>
              </w:rPr>
              <w:t>After</w:t>
            </w:r>
          </w:p>
        </w:tc>
      </w:tr>
      <w:tr>
        <w:tc>
          <w:tcPr>
            <w:tcW w:type="dxa" w:w="4032"/>
            <w:shd w:val="clear" w:color="auto" w:fill="FFFFFF"/>
          </w:tcPr>
          <w:p>
            <w:pPr>
              <w:spacing w:before="0" w:after="0"/>
              <w:jc w:val="left"/>
            </w:pPr>
            <w:r>
              <w:rPr>
                <w:rFonts w:ascii="Georgia" w:hAnsi="Georgia"/>
                <w:b w:val="0"/>
                <w:i w:val="0"/>
                <w:color w:val="1A1A1A"/>
                <w:sz w:val="19"/>
              </w:rPr>
              <w:t>Podocarpus Real Estate LLC</w:t>
            </w:r>
          </w:p>
        </w:tc>
        <w:tc>
          <w:tcPr>
            <w:tcW w:type="dxa" w:w="1728"/>
            <w:shd w:val="clear" w:color="auto" w:fill="FFFFFF"/>
          </w:tcPr>
          <w:p>
            <w:pPr>
              <w:spacing w:before="0" w:after="0"/>
              <w:jc w:val="center"/>
            </w:pPr>
            <w:r>
              <w:rPr>
                <w:rFonts w:ascii="Georgia" w:hAnsi="Georgia"/>
                <w:b w:val="0"/>
                <w:i w:val="0"/>
                <w:color w:val="1A1A1A"/>
                <w:sz w:val="19"/>
              </w:rPr>
              <w:t>70%</w:t>
            </w:r>
          </w:p>
        </w:tc>
        <w:tc>
          <w:tcPr>
            <w:tcW w:type="dxa" w:w="1872"/>
            <w:shd w:val="clear" w:color="auto" w:fill="FFFFFF"/>
          </w:tcPr>
          <w:p>
            <w:pPr>
              <w:spacing w:before="0" w:after="0"/>
              <w:jc w:val="center"/>
            </w:pPr>
            <w:r>
              <w:rPr>
                <w:rFonts w:ascii="Georgia" w:hAnsi="Georgia"/>
                <w:b w:val="0"/>
                <w:i w:val="0"/>
                <w:color w:val="1A1A1A"/>
                <w:sz w:val="19"/>
              </w:rPr>
              <w:t>− 21%</w:t>
            </w:r>
          </w:p>
        </w:tc>
        <w:tc>
          <w:tcPr>
            <w:tcW w:type="dxa" w:w="1872"/>
            <w:shd w:val="clear" w:color="auto" w:fill="FFFFFF"/>
          </w:tcPr>
          <w:p>
            <w:pPr>
              <w:spacing w:before="0" w:after="0"/>
              <w:jc w:val="center"/>
            </w:pPr>
            <w:r>
              <w:rPr>
                <w:rFonts w:ascii="Georgia" w:hAnsi="Georgia"/>
                <w:b w:val="0"/>
                <w:i w:val="0"/>
                <w:color w:val="1A1A1A"/>
                <w:sz w:val="19"/>
              </w:rPr>
              <w:t>49.0%</w:t>
            </w:r>
          </w:p>
        </w:tc>
      </w:tr>
      <w:tr>
        <w:tc>
          <w:tcPr>
            <w:tcW w:type="dxa" w:w="4032"/>
            <w:shd w:val="clear" w:color="auto" w:fill="F4F1E8"/>
          </w:tcPr>
          <w:p>
            <w:pPr>
              <w:spacing w:before="0" w:after="0"/>
              <w:jc w:val="left"/>
            </w:pPr>
            <w:r>
              <w:rPr>
                <w:rFonts w:ascii="Georgia" w:hAnsi="Georgia"/>
                <w:b w:val="0"/>
                <w:i w:val="0"/>
                <w:color w:val="1A1A1A"/>
                <w:sz w:val="19"/>
              </w:rPr>
              <w:t>Mr. Yslam Atayev</w:t>
            </w:r>
          </w:p>
        </w:tc>
        <w:tc>
          <w:tcPr>
            <w:tcW w:type="dxa" w:w="1728"/>
            <w:shd w:val="clear" w:color="auto" w:fill="F4F1E8"/>
          </w:tcPr>
          <w:p>
            <w:pPr>
              <w:spacing w:before="0" w:after="0"/>
              <w:jc w:val="center"/>
            </w:pPr>
            <w:r>
              <w:rPr>
                <w:rFonts w:ascii="Georgia" w:hAnsi="Georgia"/>
                <w:b w:val="0"/>
                <w:i w:val="0"/>
                <w:color w:val="1A1A1A"/>
                <w:sz w:val="19"/>
              </w:rPr>
              <w:t>16%</w:t>
            </w:r>
          </w:p>
        </w:tc>
        <w:tc>
          <w:tcPr>
            <w:tcW w:type="dxa" w:w="1872"/>
            <w:shd w:val="clear" w:color="auto" w:fill="F4F1E8"/>
          </w:tcPr>
          <w:p>
            <w:pPr>
              <w:spacing w:before="0" w:after="0"/>
              <w:jc w:val="center"/>
            </w:pPr>
            <w:r>
              <w:rPr>
                <w:rFonts w:ascii="Georgia" w:hAnsi="Georgia"/>
                <w:b w:val="0"/>
                <w:i w:val="0"/>
                <w:color w:val="1A1A1A"/>
                <w:sz w:val="19"/>
              </w:rPr>
              <w:t>+ 11.2%</w:t>
            </w:r>
          </w:p>
        </w:tc>
        <w:tc>
          <w:tcPr>
            <w:tcW w:type="dxa" w:w="1872"/>
            <w:shd w:val="clear" w:color="auto" w:fill="F4F1E8"/>
          </w:tcPr>
          <w:p>
            <w:pPr>
              <w:spacing w:before="0" w:after="0"/>
              <w:jc w:val="center"/>
            </w:pPr>
            <w:r>
              <w:rPr>
                <w:rFonts w:ascii="Georgia" w:hAnsi="Georgia"/>
                <w:b w:val="0"/>
                <w:i w:val="0"/>
                <w:color w:val="1A1A1A"/>
                <w:sz w:val="19"/>
              </w:rPr>
              <w:t>27.2%</w:t>
            </w:r>
          </w:p>
        </w:tc>
      </w:tr>
      <w:tr>
        <w:tc>
          <w:tcPr>
            <w:tcW w:type="dxa" w:w="4032"/>
            <w:shd w:val="clear" w:color="auto" w:fill="FFFFFF"/>
          </w:tcPr>
          <w:p>
            <w:pPr>
              <w:spacing w:before="0" w:after="0"/>
              <w:jc w:val="left"/>
            </w:pPr>
            <w:r>
              <w:rPr>
                <w:rFonts w:ascii="Georgia" w:hAnsi="Georgia"/>
                <w:b w:val="0"/>
                <w:i w:val="0"/>
                <w:color w:val="1A1A1A"/>
                <w:sz w:val="19"/>
              </w:rPr>
              <w:t>Mr. Orazdurdy Mamiyev</w:t>
            </w:r>
          </w:p>
        </w:tc>
        <w:tc>
          <w:tcPr>
            <w:tcW w:type="dxa" w:w="1728"/>
            <w:shd w:val="clear" w:color="auto" w:fill="FFFFFF"/>
          </w:tcPr>
          <w:p>
            <w:pPr>
              <w:spacing w:before="0" w:after="0"/>
              <w:jc w:val="center"/>
            </w:pPr>
            <w:r>
              <w:rPr>
                <w:rFonts w:ascii="Georgia" w:hAnsi="Georgia"/>
                <w:b w:val="0"/>
                <w:i w:val="0"/>
                <w:color w:val="1A1A1A"/>
                <w:sz w:val="19"/>
              </w:rPr>
              <w:t>14%</w:t>
            </w:r>
          </w:p>
        </w:tc>
        <w:tc>
          <w:tcPr>
            <w:tcW w:type="dxa" w:w="1872"/>
            <w:shd w:val="clear" w:color="auto" w:fill="FFFFFF"/>
          </w:tcPr>
          <w:p>
            <w:pPr>
              <w:spacing w:before="0" w:after="0"/>
              <w:jc w:val="center"/>
            </w:pPr>
            <w:r>
              <w:rPr>
                <w:rFonts w:ascii="Georgia" w:hAnsi="Georgia"/>
                <w:b w:val="0"/>
                <w:i w:val="0"/>
                <w:color w:val="1A1A1A"/>
                <w:sz w:val="19"/>
              </w:rPr>
              <w:t>+ 9.8%</w:t>
            </w:r>
          </w:p>
        </w:tc>
        <w:tc>
          <w:tcPr>
            <w:tcW w:type="dxa" w:w="1872"/>
            <w:shd w:val="clear" w:color="auto" w:fill="FFFFFF"/>
          </w:tcPr>
          <w:p>
            <w:pPr>
              <w:spacing w:before="0" w:after="0"/>
              <w:jc w:val="center"/>
            </w:pPr>
            <w:r>
              <w:rPr>
                <w:rFonts w:ascii="Georgia" w:hAnsi="Georgia"/>
                <w:b w:val="0"/>
                <w:i w:val="0"/>
                <w:color w:val="1A1A1A"/>
                <w:sz w:val="19"/>
              </w:rPr>
              <w:t>23.8%</w:t>
            </w:r>
          </w:p>
        </w:tc>
      </w:tr>
      <w:tr>
        <w:tc>
          <w:tcPr>
            <w:tcW w:type="dxa" w:w="4032"/>
            <w:shd w:val="clear" w:color="auto" w:fill="E7DFC8"/>
          </w:tcPr>
          <w:p>
            <w:pPr>
              <w:spacing w:before="0" w:after="0"/>
              <w:jc w:val="left"/>
            </w:pPr>
            <w:r>
              <w:rPr>
                <w:rFonts w:ascii="Georgia" w:hAnsi="Georgia"/>
                <w:b/>
                <w:i w:val="0"/>
                <w:color w:val="0E2A47"/>
                <w:sz w:val="19"/>
              </w:rPr>
              <w:t>Total</w:t>
            </w:r>
          </w:p>
        </w:tc>
        <w:tc>
          <w:tcPr>
            <w:tcW w:type="dxa" w:w="1728"/>
            <w:shd w:val="clear" w:color="auto" w:fill="E7DFC8"/>
          </w:tcPr>
          <w:p>
            <w:pPr>
              <w:spacing w:before="0" w:after="0"/>
              <w:jc w:val="center"/>
            </w:pPr>
            <w:r>
              <w:rPr>
                <w:rFonts w:ascii="Georgia" w:hAnsi="Georgia"/>
                <w:b/>
                <w:i w:val="0"/>
                <w:color w:val="0E2A47"/>
                <w:sz w:val="19"/>
              </w:rPr>
              <w:t>100%</w:t>
            </w:r>
          </w:p>
        </w:tc>
        <w:tc>
          <w:tcPr>
            <w:tcW w:type="dxa" w:w="1872"/>
            <w:shd w:val="clear" w:color="auto" w:fill="E7DFC8"/>
          </w:tcPr>
          <w:p>
            <w:pPr>
              <w:spacing w:before="0" w:after="0"/>
              <w:jc w:val="center"/>
            </w:pPr>
            <w:r>
              <w:rPr>
                <w:rFonts w:ascii="Georgia" w:hAnsi="Georgia"/>
                <w:b/>
                <w:i w:val="0"/>
                <w:color w:val="0E2A47"/>
                <w:sz w:val="19"/>
              </w:rPr>
            </w:r>
          </w:p>
        </w:tc>
        <w:tc>
          <w:tcPr>
            <w:tcW w:type="dxa" w:w="1872"/>
            <w:shd w:val="clear" w:color="auto" w:fill="E7DFC8"/>
          </w:tcPr>
          <w:p>
            <w:pPr>
              <w:spacing w:before="0" w:after="0"/>
              <w:jc w:val="center"/>
            </w:pPr>
            <w:r>
              <w:rPr>
                <w:rFonts w:ascii="Georgia" w:hAnsi="Georgia"/>
                <w:b/>
                <w:i w:val="0"/>
                <w:color w:val="0E2A47"/>
                <w:sz w:val="19"/>
              </w:rPr>
              <w:t>100%</w:t>
            </w:r>
          </w:p>
        </w:tc>
      </w:tr>
    </w:tbl>
    <w:p>
      <w:pPr>
        <w:spacing w:after="80"/>
      </w:pPr>
      <w:r>
        <w:rPr>
          <w:rFonts w:ascii="Georgia" w:hAnsi="Georgia"/>
          <w:b w:val="0"/>
          <w:i w:val="0"/>
          <w:color w:val="1A1A1A"/>
          <w:sz w:val="21"/>
        </w:rPr>
      </w:r>
      <w:r>
        <w:rPr>
          <w:rFonts w:ascii="Georgia" w:hAnsi="Georgia"/>
          <w:b/>
          <w:i w:val="0"/>
          <w:color w:val="1A1A1A"/>
          <w:sz w:val="21"/>
        </w:rPr>
        <w:t>Scenario B — Equal split (10.5% each):</w:t>
      </w:r>
      <w:r>
        <w:rPr>
          <w:rFonts w:ascii="Georgia" w:hAnsi="Georgia"/>
          <w:b w:val="0"/>
          <w:i w:val="0"/>
          <w:color w:val="1A1A1A"/>
          <w:sz w:val="21"/>
        </w:rPr>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4032"/>
            <w:shd w:val="clear" w:color="auto" w:fill="0E2A47"/>
          </w:tcPr>
          <w:p>
            <w:pPr>
              <w:spacing w:before="0" w:after="0"/>
              <w:jc w:val="center"/>
            </w:pPr>
            <w:r>
              <w:rPr>
                <w:rFonts w:ascii="Calibri" w:hAnsi="Calibri"/>
                <w:b/>
                <w:i w:val="0"/>
                <w:color w:val="FFFFFF"/>
                <w:sz w:val="19"/>
              </w:rPr>
              <w:t>Shareholder</w:t>
            </w:r>
          </w:p>
        </w:tc>
        <w:tc>
          <w:tcPr>
            <w:tcW w:type="dxa" w:w="1728"/>
            <w:shd w:val="clear" w:color="auto" w:fill="0E2A47"/>
          </w:tcPr>
          <w:p>
            <w:pPr>
              <w:spacing w:before="0" w:after="0"/>
              <w:jc w:val="center"/>
            </w:pPr>
            <w:r>
              <w:rPr>
                <w:rFonts w:ascii="Calibri" w:hAnsi="Calibri"/>
                <w:b/>
                <w:i w:val="0"/>
                <w:color w:val="FFFFFF"/>
                <w:sz w:val="19"/>
              </w:rPr>
              <w:t>Before</w:t>
            </w:r>
          </w:p>
        </w:tc>
        <w:tc>
          <w:tcPr>
            <w:tcW w:type="dxa" w:w="1872"/>
            <w:shd w:val="clear" w:color="auto" w:fill="0E2A47"/>
          </w:tcPr>
          <w:p>
            <w:pPr>
              <w:spacing w:before="0" w:after="0"/>
              <w:jc w:val="center"/>
            </w:pPr>
            <w:r>
              <w:rPr>
                <w:rFonts w:ascii="Calibri" w:hAnsi="Calibri"/>
                <w:b/>
                <w:i w:val="0"/>
                <w:color w:val="FFFFFF"/>
                <w:sz w:val="19"/>
              </w:rPr>
              <w:t>Transfer</w:t>
            </w:r>
          </w:p>
        </w:tc>
        <w:tc>
          <w:tcPr>
            <w:tcW w:type="dxa" w:w="1872"/>
            <w:shd w:val="clear" w:color="auto" w:fill="0E2A47"/>
          </w:tcPr>
          <w:p>
            <w:pPr>
              <w:spacing w:before="0" w:after="0"/>
              <w:jc w:val="center"/>
            </w:pPr>
            <w:r>
              <w:rPr>
                <w:rFonts w:ascii="Calibri" w:hAnsi="Calibri"/>
                <w:b/>
                <w:i w:val="0"/>
                <w:color w:val="FFFFFF"/>
                <w:sz w:val="19"/>
              </w:rPr>
              <w:t>After</w:t>
            </w:r>
          </w:p>
        </w:tc>
      </w:tr>
      <w:tr>
        <w:tc>
          <w:tcPr>
            <w:tcW w:type="dxa" w:w="4032"/>
            <w:shd w:val="clear" w:color="auto" w:fill="FFFFFF"/>
          </w:tcPr>
          <w:p>
            <w:pPr>
              <w:spacing w:before="0" w:after="0"/>
              <w:jc w:val="left"/>
            </w:pPr>
            <w:r>
              <w:rPr>
                <w:rFonts w:ascii="Georgia" w:hAnsi="Georgia"/>
                <w:b w:val="0"/>
                <w:i w:val="0"/>
                <w:color w:val="1A1A1A"/>
                <w:sz w:val="19"/>
              </w:rPr>
              <w:t>Podocarpus Real Estate LLC</w:t>
            </w:r>
          </w:p>
        </w:tc>
        <w:tc>
          <w:tcPr>
            <w:tcW w:type="dxa" w:w="1728"/>
            <w:shd w:val="clear" w:color="auto" w:fill="FFFFFF"/>
          </w:tcPr>
          <w:p>
            <w:pPr>
              <w:spacing w:before="0" w:after="0"/>
              <w:jc w:val="center"/>
            </w:pPr>
            <w:r>
              <w:rPr>
                <w:rFonts w:ascii="Georgia" w:hAnsi="Georgia"/>
                <w:b w:val="0"/>
                <w:i w:val="0"/>
                <w:color w:val="1A1A1A"/>
                <w:sz w:val="19"/>
              </w:rPr>
              <w:t>70%</w:t>
            </w:r>
          </w:p>
        </w:tc>
        <w:tc>
          <w:tcPr>
            <w:tcW w:type="dxa" w:w="1872"/>
            <w:shd w:val="clear" w:color="auto" w:fill="FFFFFF"/>
          </w:tcPr>
          <w:p>
            <w:pPr>
              <w:spacing w:before="0" w:after="0"/>
              <w:jc w:val="center"/>
            </w:pPr>
            <w:r>
              <w:rPr>
                <w:rFonts w:ascii="Georgia" w:hAnsi="Georgia"/>
                <w:b w:val="0"/>
                <w:i w:val="0"/>
                <w:color w:val="1A1A1A"/>
                <w:sz w:val="19"/>
              </w:rPr>
              <w:t>− 21%</w:t>
            </w:r>
          </w:p>
        </w:tc>
        <w:tc>
          <w:tcPr>
            <w:tcW w:type="dxa" w:w="1872"/>
            <w:shd w:val="clear" w:color="auto" w:fill="FFFFFF"/>
          </w:tcPr>
          <w:p>
            <w:pPr>
              <w:spacing w:before="0" w:after="0"/>
              <w:jc w:val="center"/>
            </w:pPr>
            <w:r>
              <w:rPr>
                <w:rFonts w:ascii="Georgia" w:hAnsi="Georgia"/>
                <w:b w:val="0"/>
                <w:i w:val="0"/>
                <w:color w:val="1A1A1A"/>
                <w:sz w:val="19"/>
              </w:rPr>
              <w:t>49.0%</w:t>
            </w:r>
          </w:p>
        </w:tc>
      </w:tr>
      <w:tr>
        <w:tc>
          <w:tcPr>
            <w:tcW w:type="dxa" w:w="4032"/>
            <w:shd w:val="clear" w:color="auto" w:fill="F4F1E8"/>
          </w:tcPr>
          <w:p>
            <w:pPr>
              <w:spacing w:before="0" w:after="0"/>
              <w:jc w:val="left"/>
            </w:pPr>
            <w:r>
              <w:rPr>
                <w:rFonts w:ascii="Georgia" w:hAnsi="Georgia"/>
                <w:b w:val="0"/>
                <w:i w:val="0"/>
                <w:color w:val="1A1A1A"/>
                <w:sz w:val="19"/>
              </w:rPr>
              <w:t>Mr. Yslam Atayev</w:t>
            </w:r>
          </w:p>
        </w:tc>
        <w:tc>
          <w:tcPr>
            <w:tcW w:type="dxa" w:w="1728"/>
            <w:shd w:val="clear" w:color="auto" w:fill="F4F1E8"/>
          </w:tcPr>
          <w:p>
            <w:pPr>
              <w:spacing w:before="0" w:after="0"/>
              <w:jc w:val="center"/>
            </w:pPr>
            <w:r>
              <w:rPr>
                <w:rFonts w:ascii="Georgia" w:hAnsi="Georgia"/>
                <w:b w:val="0"/>
                <w:i w:val="0"/>
                <w:color w:val="1A1A1A"/>
                <w:sz w:val="19"/>
              </w:rPr>
              <w:t>16%</w:t>
            </w:r>
          </w:p>
        </w:tc>
        <w:tc>
          <w:tcPr>
            <w:tcW w:type="dxa" w:w="1872"/>
            <w:shd w:val="clear" w:color="auto" w:fill="F4F1E8"/>
          </w:tcPr>
          <w:p>
            <w:pPr>
              <w:spacing w:before="0" w:after="0"/>
              <w:jc w:val="center"/>
            </w:pPr>
            <w:r>
              <w:rPr>
                <w:rFonts w:ascii="Georgia" w:hAnsi="Georgia"/>
                <w:b w:val="0"/>
                <w:i w:val="0"/>
                <w:color w:val="1A1A1A"/>
                <w:sz w:val="19"/>
              </w:rPr>
              <w:t>+ 10.5%</w:t>
            </w:r>
          </w:p>
        </w:tc>
        <w:tc>
          <w:tcPr>
            <w:tcW w:type="dxa" w:w="1872"/>
            <w:shd w:val="clear" w:color="auto" w:fill="F4F1E8"/>
          </w:tcPr>
          <w:p>
            <w:pPr>
              <w:spacing w:before="0" w:after="0"/>
              <w:jc w:val="center"/>
            </w:pPr>
            <w:r>
              <w:rPr>
                <w:rFonts w:ascii="Georgia" w:hAnsi="Georgia"/>
                <w:b w:val="0"/>
                <w:i w:val="0"/>
                <w:color w:val="1A1A1A"/>
                <w:sz w:val="19"/>
              </w:rPr>
              <w:t>26.5%</w:t>
            </w:r>
          </w:p>
        </w:tc>
      </w:tr>
      <w:tr>
        <w:tc>
          <w:tcPr>
            <w:tcW w:type="dxa" w:w="4032"/>
            <w:shd w:val="clear" w:color="auto" w:fill="FFFFFF"/>
          </w:tcPr>
          <w:p>
            <w:pPr>
              <w:spacing w:before="0" w:after="0"/>
              <w:jc w:val="left"/>
            </w:pPr>
            <w:r>
              <w:rPr>
                <w:rFonts w:ascii="Georgia" w:hAnsi="Georgia"/>
                <w:b w:val="0"/>
                <w:i w:val="0"/>
                <w:color w:val="1A1A1A"/>
                <w:sz w:val="19"/>
              </w:rPr>
              <w:t>Mr. Orazdurdy Mamiyev</w:t>
            </w:r>
          </w:p>
        </w:tc>
        <w:tc>
          <w:tcPr>
            <w:tcW w:type="dxa" w:w="1728"/>
            <w:shd w:val="clear" w:color="auto" w:fill="FFFFFF"/>
          </w:tcPr>
          <w:p>
            <w:pPr>
              <w:spacing w:before="0" w:after="0"/>
              <w:jc w:val="center"/>
            </w:pPr>
            <w:r>
              <w:rPr>
                <w:rFonts w:ascii="Georgia" w:hAnsi="Georgia"/>
                <w:b w:val="0"/>
                <w:i w:val="0"/>
                <w:color w:val="1A1A1A"/>
                <w:sz w:val="19"/>
              </w:rPr>
              <w:t>14%</w:t>
            </w:r>
          </w:p>
        </w:tc>
        <w:tc>
          <w:tcPr>
            <w:tcW w:type="dxa" w:w="1872"/>
            <w:shd w:val="clear" w:color="auto" w:fill="FFFFFF"/>
          </w:tcPr>
          <w:p>
            <w:pPr>
              <w:spacing w:before="0" w:after="0"/>
              <w:jc w:val="center"/>
            </w:pPr>
            <w:r>
              <w:rPr>
                <w:rFonts w:ascii="Georgia" w:hAnsi="Georgia"/>
                <w:b w:val="0"/>
                <w:i w:val="0"/>
                <w:color w:val="1A1A1A"/>
                <w:sz w:val="19"/>
              </w:rPr>
              <w:t>+ 10.5%</w:t>
            </w:r>
          </w:p>
        </w:tc>
        <w:tc>
          <w:tcPr>
            <w:tcW w:type="dxa" w:w="1872"/>
            <w:shd w:val="clear" w:color="auto" w:fill="FFFFFF"/>
          </w:tcPr>
          <w:p>
            <w:pPr>
              <w:spacing w:before="0" w:after="0"/>
              <w:jc w:val="center"/>
            </w:pPr>
            <w:r>
              <w:rPr>
                <w:rFonts w:ascii="Georgia" w:hAnsi="Georgia"/>
                <w:b w:val="0"/>
                <w:i w:val="0"/>
                <w:color w:val="1A1A1A"/>
                <w:sz w:val="19"/>
              </w:rPr>
              <w:t>24.5%</w:t>
            </w:r>
          </w:p>
        </w:tc>
      </w:tr>
      <w:tr>
        <w:tc>
          <w:tcPr>
            <w:tcW w:type="dxa" w:w="4032"/>
            <w:shd w:val="clear" w:color="auto" w:fill="E7DFC8"/>
          </w:tcPr>
          <w:p>
            <w:pPr>
              <w:spacing w:before="0" w:after="0"/>
              <w:jc w:val="left"/>
            </w:pPr>
            <w:r>
              <w:rPr>
                <w:rFonts w:ascii="Georgia" w:hAnsi="Georgia"/>
                <w:b/>
                <w:i w:val="0"/>
                <w:color w:val="0E2A47"/>
                <w:sz w:val="19"/>
              </w:rPr>
              <w:t>Total</w:t>
            </w:r>
          </w:p>
        </w:tc>
        <w:tc>
          <w:tcPr>
            <w:tcW w:type="dxa" w:w="1728"/>
            <w:shd w:val="clear" w:color="auto" w:fill="E7DFC8"/>
          </w:tcPr>
          <w:p>
            <w:pPr>
              <w:spacing w:before="0" w:after="0"/>
              <w:jc w:val="center"/>
            </w:pPr>
            <w:r>
              <w:rPr>
                <w:rFonts w:ascii="Georgia" w:hAnsi="Georgia"/>
                <w:b/>
                <w:i w:val="0"/>
                <w:color w:val="0E2A47"/>
                <w:sz w:val="19"/>
              </w:rPr>
              <w:t>100%</w:t>
            </w:r>
          </w:p>
        </w:tc>
        <w:tc>
          <w:tcPr>
            <w:tcW w:type="dxa" w:w="1872"/>
            <w:shd w:val="clear" w:color="auto" w:fill="E7DFC8"/>
          </w:tcPr>
          <w:p>
            <w:pPr>
              <w:spacing w:before="0" w:after="0"/>
              <w:jc w:val="center"/>
            </w:pPr>
            <w:r>
              <w:rPr>
                <w:rFonts w:ascii="Georgia" w:hAnsi="Georgia"/>
                <w:b/>
                <w:i w:val="0"/>
                <w:color w:val="0E2A47"/>
                <w:sz w:val="19"/>
              </w:rPr>
            </w:r>
          </w:p>
        </w:tc>
        <w:tc>
          <w:tcPr>
            <w:tcW w:type="dxa" w:w="1872"/>
            <w:shd w:val="clear" w:color="auto" w:fill="E7DFC8"/>
          </w:tcPr>
          <w:p>
            <w:pPr>
              <w:spacing w:before="0" w:after="0"/>
              <w:jc w:val="center"/>
            </w:pPr>
            <w:r>
              <w:rPr>
                <w:rFonts w:ascii="Georgia" w:hAnsi="Georgia"/>
                <w:b/>
                <w:i w:val="0"/>
                <w:color w:val="0E2A47"/>
                <w:sz w:val="19"/>
              </w:rPr>
              <w:t>100%</w:t>
            </w:r>
          </w:p>
        </w:tc>
      </w:tr>
    </w:tbl>
    <w:p>
      <w:pPr>
        <w:spacing w:after="80"/>
        <w:jc w:val="both"/>
      </w:pPr>
      <w:r>
        <w:rPr>
          <w:rFonts w:ascii="Georgia" w:hAnsi="Georgia"/>
          <w:b w:val="0"/>
          <w:i w:val="0"/>
          <w:color w:val="1A1A1A"/>
          <w:sz w:val="21"/>
        </w:rPr>
        <w:t>The actual allocation shall be as set out in the Allocation Notice (Schedule 3), determined by the Founder according to each Transferee’s respective performance.</w:t>
      </w:r>
    </w:p>
    <w:p>
      <w:pPr>
        <w:keepNext/>
        <w:spacing w:before="240" w:after="100"/>
        <w:pBdr>
          <w:bottom w:val="single" w:sz="8" w:space="3" w:color="B18A3E"/>
        </w:pBdr>
      </w:pPr>
      <w:r>
        <w:rPr>
          <w:rFonts w:ascii="Calibri" w:hAnsi="Calibri"/>
          <w:b/>
          <w:i w:val="0"/>
          <w:color w:val="0E2A47"/>
          <w:sz w:val="24"/>
        </w:rPr>
        <w:t>SCHEDULE 5 — INFORMATION TO BE COMPLETED BEFORE EXECUTION</w:t>
      </w:r>
    </w:p>
    <w:p>
      <w:pPr>
        <w:spacing w:after="160"/>
        <w:jc w:val="both"/>
      </w:pPr>
      <w:r>
        <w:rPr>
          <w:rFonts w:ascii="Georgia" w:hAnsi="Georgia"/>
          <w:b w:val="0"/>
          <w:i w:val="0"/>
          <w:color w:val="1A1A1A"/>
          <w:sz w:val="21"/>
        </w:rPr>
        <w:t>The following items, shown as [ ● ] or blank lines in this Agreement, must be completed by the Parties (with their legal adviser) before signing and notarisation:</w:t>
      </w:r>
    </w:p>
    <w:p>
      <w:pPr>
        <w:pStyle w:val="ListBullet"/>
        <w:spacing w:after="60"/>
      </w:pPr>
      <w:r>
        <w:rPr>
          <w:rFonts w:ascii="Georgia" w:hAnsi="Georgia"/>
          <w:b w:val="0"/>
          <w:i w:val="0"/>
          <w:color w:val="1A1A1A"/>
          <w:sz w:val="20"/>
        </w:rPr>
        <w:t>Effective Date of the Agreement.</w:t>
      </w:r>
    </w:p>
    <w:p>
      <w:pPr>
        <w:pStyle w:val="ListBullet"/>
        <w:spacing w:after="60"/>
      </w:pPr>
      <w:r>
        <w:rPr>
          <w:rFonts w:ascii="Georgia" w:hAnsi="Georgia"/>
          <w:b w:val="0"/>
          <w:i w:val="0"/>
          <w:color w:val="1A1A1A"/>
          <w:sz w:val="20"/>
        </w:rPr>
        <w:t>Podocarpus Real Estate LLC — trade licence number and registered address.</w:t>
      </w:r>
    </w:p>
    <w:p>
      <w:pPr>
        <w:pStyle w:val="ListBullet"/>
        <w:spacing w:after="60"/>
      </w:pPr>
      <w:r>
        <w:rPr>
          <w:rFonts w:ascii="Georgia" w:hAnsi="Georgia"/>
          <w:b w:val="0"/>
          <w:i w:val="0"/>
          <w:color w:val="1A1A1A"/>
          <w:sz w:val="20"/>
        </w:rPr>
        <w:t>Orizuru Holiday Homes LLC — trade licence number and registered address.</w:t>
      </w:r>
    </w:p>
    <w:p>
      <w:pPr>
        <w:pStyle w:val="ListBullet"/>
        <w:spacing w:after="60"/>
      </w:pPr>
      <w:r>
        <w:rPr>
          <w:rFonts w:ascii="Georgia" w:hAnsi="Georgia"/>
          <w:b w:val="0"/>
          <w:i w:val="0"/>
          <w:color w:val="1A1A1A"/>
          <w:sz w:val="20"/>
        </w:rPr>
        <w:t>Full legal name of the Founder of Podocarpus, and passport / Emirates ID number.</w:t>
      </w:r>
    </w:p>
    <w:p>
      <w:pPr>
        <w:pStyle w:val="ListBullet"/>
        <w:spacing w:after="60"/>
      </w:pPr>
      <w:r>
        <w:rPr>
          <w:rFonts w:ascii="Georgia" w:hAnsi="Georgia"/>
          <w:b w:val="0"/>
          <w:i w:val="0"/>
          <w:color w:val="1A1A1A"/>
          <w:sz w:val="20"/>
        </w:rPr>
        <w:t>Mr. Yslam Atayev — passport / Emirates ID number, nationality and address.</w:t>
      </w:r>
    </w:p>
    <w:p>
      <w:pPr>
        <w:pStyle w:val="ListBullet"/>
        <w:spacing w:after="60"/>
      </w:pPr>
      <w:r>
        <w:rPr>
          <w:rFonts w:ascii="Georgia" w:hAnsi="Georgia"/>
          <w:b w:val="0"/>
          <w:i w:val="0"/>
          <w:color w:val="1A1A1A"/>
          <w:sz w:val="20"/>
        </w:rPr>
        <w:t>Mr. Orazdurdy Mamiyev — passport / Emirates ID number, nationality and address.</w:t>
      </w:r>
    </w:p>
    <w:p>
      <w:pPr>
        <w:pStyle w:val="ListBullet"/>
        <w:spacing w:after="60"/>
      </w:pPr>
      <w:r>
        <w:rPr>
          <w:rFonts w:ascii="Georgia" w:hAnsi="Georgia"/>
          <w:b w:val="0"/>
          <w:i w:val="0"/>
          <w:color w:val="1A1A1A"/>
          <w:sz w:val="20"/>
        </w:rPr>
        <w:t>Confirmation of the Company’s par value per share and total number of shares (for the notarised transfer).</w:t>
      </w:r>
    </w:p>
    <w:p>
      <w:pPr>
        <w:pStyle w:val="ListBullet"/>
        <w:spacing w:after="60"/>
      </w:pPr>
      <w:r>
        <w:rPr>
          <w:rFonts w:ascii="Georgia" w:hAnsi="Georgia"/>
          <w:b w:val="0"/>
          <w:i w:val="0"/>
          <w:color w:val="1A1A1A"/>
          <w:sz w:val="20"/>
        </w:rPr>
        <w:t>Names and titles of the authorised signatories for each company.</w:t>
      </w:r>
    </w:p>
    <w:p>
      <w:pPr>
        <w:pStyle w:val="ListBullet"/>
        <w:spacing w:after="60"/>
      </w:pPr>
      <w:r>
        <w:rPr>
          <w:rFonts w:ascii="Georgia" w:hAnsi="Georgia"/>
          <w:b w:val="0"/>
          <w:i w:val="0"/>
          <w:color w:val="1A1A1A"/>
          <w:sz w:val="20"/>
        </w:rPr>
        <w:t>Whether disputes are to be resolved by Dubai Courts (Clause 14.2) or DIAC arbitration (Clause 14.3).</w:t>
      </w:r>
    </w:p>
    <w:p>
      <w:pPr>
        <w:pStyle w:val="ListBullet"/>
        <w:spacing w:after="60"/>
      </w:pPr>
      <w:r>
        <w:rPr>
          <w:rFonts w:ascii="Georgia" w:hAnsi="Georgia"/>
          <w:b w:val="0"/>
          <w:i w:val="0"/>
          <w:color w:val="1A1A1A"/>
          <w:sz w:val="20"/>
        </w:rPr>
        <w:t>Certified Arabic translation for notarisation and DET registration.</w:t>
      </w:r>
    </w:p>
    <w:p/>
    <w:tbl>
      <w:tblPr>
        <w:tblW w:type="auto" w:w="0"/>
        <w:jc w:val="center"/>
        <w:tblLook w:firstColumn="1" w:firstRow="1" w:lastColumn="0" w:lastRow="0" w:noHBand="0" w:noVBand="1" w:val="04A0"/>
      </w:tblPr>
      <w:tblGrid>
        <w:gridCol w:w="9216"/>
      </w:tblGrid>
      <w:tr>
        <w:tc>
          <w:tcPr>
            <w:tcW w:type="dxa" w:w="9216"/>
            <w:shd w:val="clear" w:color="auto" w:fill="F3EDDE"/>
            <w:tcBorders>
              <w:top w:val="single" w:sz="10" w:space="0" w:color="B18A3E"/>
              <w:left w:val="single" w:sz="10" w:space="0" w:color="B18A3E"/>
              <w:bottom w:val="single" w:sz="10" w:space="0" w:color="B18A3E"/>
              <w:right w:val="single" w:sz="10" w:space="0" w:color="B18A3E"/>
            </w:tcBorders>
          </w:tcPr>
          <w:p>
            <w:pPr>
              <w:spacing w:before="0" w:after="0"/>
            </w:pPr>
            <w:r/>
            <w:r>
              <w:rPr>
                <w:rFonts w:ascii="Calibri" w:hAnsi="Calibri"/>
                <w:b/>
                <w:i w:val="0"/>
                <w:caps/>
                <w:color w:val="0E2A47"/>
                <w:sz w:val="20"/>
              </w:rPr>
              <w:t>Reminder</w:t>
            </w:r>
          </w:p>
          <w:p>
            <w:pPr>
              <w:spacing w:before="80" w:after="0"/>
              <w:jc w:val="both"/>
            </w:pPr>
            <w:r>
              <w:rPr>
                <w:rFonts w:ascii="Georgia" w:hAnsi="Georgia"/>
                <w:b w:val="0"/>
                <w:i w:val="0"/>
                <w:color w:val="555555"/>
                <w:sz w:val="18"/>
              </w:rPr>
              <w:t>This is a binding commercial template. To be legally effective in Dubai, the share transfer must be notarised before a Dubai Notary Public and registered with the DET, with the MOA amended accordingly. Have a UAE-licensed lawyer review and finalise this document and prepare the Arabic notarised addendum prior to execution.</w:t>
            </w:r>
          </w:p>
          <w:p>
            <w:pPr>
              <w:spacing w:before="0" w:after="0"/>
            </w:pPr>
            <w:r>
              <w:rPr>
                <w:rFonts w:ascii="Georgia" w:hAnsi="Georgia"/>
                <w:b w:val="0"/>
                <w:i w:val="0"/>
                <w:color w:val="1A1A1A"/>
                <w:sz w:val="6"/>
              </w:rPr>
            </w:r>
          </w:p>
        </w:tc>
      </w:tr>
    </w:tbl>
    <w:sectPr w:rsidR="00FC693F" w:rsidRPr="0006063C" w:rsidSect="00034616">
      <w:footerReference w:type="default" r:id="rId9"/>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aps/>
        <w:color w:val="8A8A8A"/>
        <w:sz w:val="15"/>
      </w:rPr>
      <w:t>STRICTLY PRIVATE &amp; CONFIDENTIAL</w:t>
    </w:r>
  </w:p>
  <w:p>
    <w:pPr>
      <w:spacing w:before="0" w:after="0"/>
      <w:jc w:val="center"/>
    </w:pPr>
    <w:r>
      <w:rPr>
        <w:rFonts w:ascii="Calibri" w:hAnsi="Calibri"/>
        <w:b w:val="0"/>
        <w:i w:val="0"/>
        <w:color w:val="8A8A8A"/>
        <w:sz w:val="15"/>
      </w:rPr>
      <w:t xml:space="preserve">Share Transfer Agreement — Orizuru Holiday Homes LLC   |   Page </w:t>
    </w:r>
    <w:r>
      <w:rPr>
        <w:rFonts w:ascii="Calibri" w:hAnsi="Calibri"/>
        <w:color w:val="8A8A8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pPr>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