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drawing>
          <wp:inline xmlns:a="http://schemas.openxmlformats.org/drawingml/2006/main" xmlns:pic="http://schemas.openxmlformats.org/drawingml/2006/picture">
            <wp:extent cx="658368" cy="658368"/>
            <wp:docPr id="1" name="OrthoAI logo" descr="OrthoAI tooth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-5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6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Calibri" w:hAnsi="Calibri"/>
          <w:b/>
          <w:color w:val="4F46E5"/>
          <w:sz w:val="20"/>
        </w:rPr>
        <w:t>CLINICIAN PILOT GUIDE</w:t>
      </w:r>
    </w:p>
    <w:p>
      <w:pPr>
        <w:keepNext/>
        <w:spacing w:before="0" w:after="140"/>
      </w:pPr>
      <w:r>
        <w:rPr>
          <w:rFonts w:ascii="Calibri" w:hAnsi="Calibri"/>
          <w:b/>
          <w:color w:val="17324D"/>
          <w:sz w:val="60"/>
        </w:rPr>
        <w:t>OrthoAI Research Mode v3</w:t>
      </w:r>
    </w:p>
    <w:p>
      <w:pPr>
        <w:spacing w:after="360"/>
      </w:pPr>
      <w:r>
        <w:rPr>
          <w:rFonts w:ascii="Calibri" w:hAnsi="Calibri"/>
          <w:color w:val="5B6573"/>
          <w:sz w:val="28"/>
        </w:rPr>
        <w:t>A simple, beginner-friendly guide to completing a case from sign-in to finish.</w:t>
      </w:r>
    </w:p>
    <w:p>
      <w:pPr>
        <w:spacing w:before="80" w:after="160" w:line="288" w:lineRule="auto"/>
        <w:ind w:left="115" w:right="115"/>
        <w:shd w:val="clear" w:fill="EEF2FF"/>
        <w:pBdr>
          <w:left w:val="single" w:sz="18" w:space="8" w:color="4F46E5"/>
        </w:pBdr>
      </w:pPr>
      <w:r>
        <w:rPr>
          <w:rFonts w:ascii="Calibri" w:hAnsi="Calibri"/>
          <w:b/>
          <w:color w:val="4F46E5"/>
        </w:rPr>
        <w:t xml:space="preserve">YOUR WHOLE JOURNEY: </w:t>
      </w:r>
      <w:r>
        <w:rPr>
          <w:rFonts w:ascii="Calibri" w:hAnsi="Calibri"/>
          <w:color w:val="1F2937"/>
        </w:rPr>
        <w:t>Diagnose a Case → complete the short Research Mode review → confirm the case in Cases.</w:t>
      </w:r>
    </w:p>
    <w:p>
      <w:pPr>
        <w:pStyle w:val="Heading1"/>
      </w:pPr>
      <w:r>
        <w:t>Pilot at a glance</w:t>
      </w:r>
    </w:p>
    <w:p>
      <w:pPr>
        <w:spacing w:after="80" w:line="300" w:lineRule="auto"/>
        <w:ind w:left="540" w:hanging="270"/>
        <w:numPr>
          <w:ilvl w:val="0"/>
          <w:numId w:val="14"/>
        </w:numPr>
      </w:pPr>
      <w:r>
        <w:rPr>
          <w:rFonts w:ascii="Calibri" w:hAnsi="Calibri"/>
        </w:rPr>
        <w:t>Up to 20 participating clinicians and domain experts.</w:t>
      </w:r>
    </w:p>
    <w:p>
      <w:pPr>
        <w:spacing w:after="80" w:line="300" w:lineRule="auto"/>
        <w:ind w:left="540" w:hanging="270"/>
        <w:numPr>
          <w:ilvl w:val="0"/>
          <w:numId w:val="14"/>
        </w:numPr>
      </w:pPr>
      <w:r>
        <w:rPr>
          <w:rFonts w:ascii="Calibri" w:hAnsi="Calibri"/>
        </w:rPr>
        <w:t>Up to 1,000 eligible real-world patient cases across approved clinics.</w:t>
      </w:r>
    </w:p>
    <w:p>
      <w:pPr>
        <w:spacing w:after="80" w:line="300" w:lineRule="auto"/>
        <w:ind w:left="540" w:hanging="270"/>
        <w:numPr>
          <w:ilvl w:val="0"/>
          <w:numId w:val="14"/>
        </w:numPr>
      </w:pPr>
      <w:r>
        <w:rPr>
          <w:rFonts w:ascii="Calibri" w:hAnsi="Calibri"/>
        </w:rPr>
        <w:t>Use during genuine clinical assessment tasks after your site is formally activated.</w:t>
      </w:r>
    </w:p>
    <w:p>
      <w:pPr>
        <w:spacing w:after="80" w:line="300" w:lineRule="auto"/>
        <w:ind w:left="540" w:hanging="270"/>
        <w:numPr>
          <w:ilvl w:val="0"/>
          <w:numId w:val="14"/>
        </w:numPr>
      </w:pPr>
      <w:r>
        <w:rPr>
          <w:rFonts w:ascii="Calibri" w:hAnsi="Calibri"/>
        </w:rPr>
        <w:t>OrthoAI supports professional judgment; it never replaces it.</w:t>
      </w:r>
    </w:p>
    <w:p>
      <w:pPr>
        <w:spacing w:before="80" w:after="160" w:line="288" w:lineRule="auto"/>
        <w:ind w:left="115" w:right="115"/>
        <w:shd w:val="clear" w:fill="FEF2F2"/>
        <w:pBdr>
          <w:left w:val="single" w:sz="18" w:space="8" w:color="9B1C1C"/>
        </w:pBdr>
      </w:pPr>
      <w:r>
        <w:rPr>
          <w:rFonts w:ascii="Calibri" w:hAnsi="Calibri"/>
          <w:b/>
          <w:color w:val="9B1C1C"/>
        </w:rPr>
        <w:t xml:space="preserve">DO NOT START WITH REAL PATIENT DATA YET: </w:t>
      </w:r>
      <w:r>
        <w:rPr>
          <w:rFonts w:ascii="Calibri" w:hAnsi="Calibri"/>
          <w:color w:val="1F2937"/>
        </w:rPr>
        <w:t>Begin only after your clinic confirms ethics, governance, consent, and study activation. Never upload direct patient identifiers.</w:t>
      </w:r>
    </w:p>
    <w:p>
      <w:pPr>
        <w:spacing w:before="160" w:after="40"/>
      </w:pPr>
      <w:r>
        <w:rPr>
          <w:rFonts w:ascii="Calibri" w:hAnsi="Calibri"/>
          <w:b/>
          <w:color w:val="17324D"/>
        </w:rPr>
        <w:t xml:space="preserve">Pilot portal: </w:t>
      </w:r>
      <w:hyperlink r:id="rId14">
        <w:r>
          <w:rPr>
            <w:rFonts w:ascii="Calibri" w:hAnsi="Calibri"/>
            <w:color w:val="4F46E5"/>
            <w:u w:val="single"/>
          </w:rPr>
          <w:t>Open the OrthoAI pilot portal</w:t>
        </w:r>
      </w:hyperlink>
    </w:p>
    <w:p>
      <w:pPr>
        <w:spacing w:after="0"/>
      </w:pPr>
      <w:r>
        <w:rPr>
          <w:rFonts w:ascii="Calibri" w:hAnsi="Calibri"/>
          <w:color w:val="5B6573"/>
          <w:sz w:val="20"/>
        </w:rPr>
        <w:t>Version 3 • August 2026 • OrthoAI Research Team</w:t>
      </w: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color w:val="4F46E5"/>
          <w:sz w:val="20"/>
        </w:rPr>
        <w:t>BEFORE YOU BEGIN</w:t>
      </w:r>
    </w:p>
    <w:p>
      <w:pPr>
        <w:keepNext/>
        <w:spacing w:before="0" w:after="100"/>
      </w:pPr>
      <w:r>
        <w:rPr>
          <w:rFonts w:ascii="Calibri" w:hAnsi="Calibri"/>
          <w:b/>
          <w:color w:val="17324D"/>
          <w:sz w:val="48"/>
        </w:rPr>
        <w:t>Get ready in five minutes</w:t>
      </w:r>
    </w:p>
    <w:p>
      <w:pPr>
        <w:spacing w:after="240"/>
      </w:pPr>
      <w:r>
        <w:rPr>
          <w:rFonts w:ascii="Calibri" w:hAnsi="Calibri"/>
          <w:color w:val="5B6573"/>
          <w:sz w:val="24"/>
        </w:rPr>
        <w:t>Everything you need before opening the first clinical case.</w:t>
      </w:r>
    </w:p>
    <w:p>
      <w:pPr>
        <w:pStyle w:val="Heading1"/>
      </w:pPr>
      <w:r>
        <w:t>Quick readiness checklist</w:t>
      </w:r>
    </w:p>
    <w:p>
      <w:pPr>
        <w:spacing w:after="80" w:line="300" w:lineRule="auto"/>
        <w:ind w:left="540" w:hanging="270"/>
        <w:numPr>
          <w:ilvl w:val="0"/>
          <w:numId w:val="14"/>
        </w:numPr>
      </w:pPr>
      <w:r>
        <w:rPr>
          <w:rFonts w:ascii="Calibri" w:hAnsi="Calibri"/>
        </w:rPr>
        <w:t>Your clinic has confirmed that the site and your account are activated for the pilot.</w:t>
      </w:r>
    </w:p>
    <w:p>
      <w:pPr>
        <w:spacing w:after="80" w:line="300" w:lineRule="auto"/>
        <w:ind w:left="540" w:hanging="270"/>
        <w:numPr>
          <w:ilvl w:val="0"/>
          <w:numId w:val="14"/>
        </w:numPr>
      </w:pPr>
      <w:r>
        <w:rPr>
          <w:rFonts w:ascii="Calibri" w:hAnsi="Calibri"/>
        </w:rPr>
        <w:t>The patient case is eligible under the approved protocol and required consent has been obtained.</w:t>
      </w:r>
    </w:p>
    <w:p>
      <w:pPr>
        <w:spacing w:after="80" w:line="300" w:lineRule="auto"/>
        <w:ind w:left="540" w:hanging="270"/>
        <w:numPr>
          <w:ilvl w:val="0"/>
          <w:numId w:val="14"/>
        </w:numPr>
      </w:pPr>
      <w:r>
        <w:rPr>
          <w:rFonts w:ascii="Calibri" w:hAnsi="Calibri"/>
        </w:rPr>
        <w:t>Every image is de-identified and uses only the approved patient or study code.</w:t>
      </w:r>
    </w:p>
    <w:p>
      <w:pPr>
        <w:spacing w:after="80" w:line="300" w:lineRule="auto"/>
        <w:ind w:left="540" w:hanging="270"/>
        <w:numPr>
          <w:ilvl w:val="0"/>
          <w:numId w:val="14"/>
        </w:numPr>
      </w:pPr>
      <w:r>
        <w:rPr>
          <w:rFonts w:ascii="Calibri" w:hAnsi="Calibri"/>
        </w:rPr>
        <w:t>You have your own professional email account. Do not share another clinician’s login.</w:t>
      </w:r>
    </w:p>
    <w:p>
      <w:pPr>
        <w:spacing w:after="80" w:line="300" w:lineRule="auto"/>
        <w:ind w:left="540" w:hanging="270"/>
        <w:numPr>
          <w:ilvl w:val="0"/>
          <w:numId w:val="14"/>
        </w:numPr>
      </w:pPr>
      <w:r>
        <w:rPr>
          <w:rFonts w:ascii="Calibri" w:hAnsi="Calibri"/>
        </w:rPr>
        <w:t>You are using a secure clinic computer with a stable internet connection and a current browser.</w:t>
      </w:r>
    </w:p>
    <w:p>
      <w:pPr>
        <w:spacing w:before="80" w:after="160" w:line="288" w:lineRule="auto"/>
        <w:ind w:left="115" w:right="115"/>
        <w:shd w:val="clear" w:fill="FEF2F2"/>
        <w:pBdr>
          <w:left w:val="single" w:sz="18" w:space="8" w:color="9B1C1C"/>
        </w:pBdr>
      </w:pPr>
      <w:r>
        <w:rPr>
          <w:rFonts w:ascii="Calibri" w:hAnsi="Calibri"/>
          <w:b/>
          <w:color w:val="9B1C1C"/>
        </w:rPr>
        <w:t xml:space="preserve">NEVER UPLOAD: </w:t>
      </w:r>
      <w:r>
        <w:rPr>
          <w:rFonts w:ascii="Calibri" w:hAnsi="Calibri"/>
          <w:color w:val="1F2937"/>
        </w:rPr>
        <w:t>Patient names, dates of birth, phone numbers, email addresses, full medical-record numbers, identifying overlays, or identifiable facial images unless your approved protocol explicitly allows them.</w:t>
      </w:r>
    </w:p>
    <w:p>
      <w:pPr>
        <w:pStyle w:val="Heading1"/>
      </w:pPr>
      <w:r>
        <w:t>Images accepted by the interface</w:t>
      </w:r>
    </w:p>
    <w:p>
      <w:pPr>
        <w:spacing w:after="80"/>
      </w:pPr>
      <w:r>
        <w:rPr>
          <w:rFonts w:ascii="Calibri" w:hAnsi="Calibri"/>
          <w:b/>
          <w:color w:val="17324D"/>
        </w:rPr>
        <w:t xml:space="preserve">Common formats: </w:t>
      </w:r>
      <w:r>
        <w:rPr>
          <w:rFonts w:ascii="Calibri" w:hAnsi="Calibri"/>
        </w:rPr>
        <w:t>PNG, JPG/JPEG, and DICOM where supported by your approved site workflow.</w:t>
      </w:r>
    </w:p>
    <w:p>
      <w:pPr>
        <w:spacing w:after="80"/>
      </w:pPr>
      <w:r>
        <w:rPr>
          <w:rFonts w:ascii="Calibri" w:hAnsi="Calibri"/>
          <w:b/>
          <w:color w:val="17324D"/>
        </w:rPr>
        <w:t xml:space="preserve">File size: </w:t>
      </w:r>
      <w:r>
        <w:rPr>
          <w:rFonts w:ascii="Calibri" w:hAnsi="Calibri"/>
        </w:rPr>
        <w:t>Up to 10 MB per file in the current interface.</w:t>
      </w:r>
    </w:p>
    <w:p>
      <w:pPr>
        <w:spacing w:after="80"/>
      </w:pPr>
      <w:r>
        <w:rPr>
          <w:rFonts w:ascii="Calibri" w:hAnsi="Calibri"/>
          <w:b/>
          <w:color w:val="17324D"/>
        </w:rPr>
        <w:t xml:space="preserve">Image quality: </w:t>
      </w:r>
      <w:r>
        <w:rPr>
          <w:rFonts w:ascii="Calibri" w:hAnsi="Calibri"/>
        </w:rPr>
        <w:t>Use clinically interpretable images. Do not upload blurred, cropped, incorrectly oriented, or incomplete studies simply to complete the form.</w:t>
      </w:r>
    </w:p>
    <w:p>
      <w:pPr>
        <w:spacing w:after="80"/>
      </w:pPr>
      <w:r>
        <w:rPr>
          <w:rFonts w:ascii="Calibri" w:hAnsi="Calibri"/>
          <w:b/>
          <w:color w:val="17324D"/>
        </w:rPr>
        <w:t xml:space="preserve">Modality: </w:t>
      </w:r>
      <w:r>
        <w:rPr>
          <w:rFonts w:ascii="Calibri" w:hAnsi="Calibri"/>
        </w:rPr>
        <w:t>Choose the correct modality label, such as OPG (panoramic), when asked.</w:t>
      </w:r>
    </w:p>
    <w:p>
      <w:pPr>
        <w:spacing w:before="80" w:after="160" w:line="288" w:lineRule="auto"/>
        <w:ind w:left="115" w:right="115"/>
        <w:shd w:val="clear" w:fill="FFF8E8"/>
        <w:pBdr>
          <w:left w:val="single" w:sz="18" w:space="8" w:color="7A5A00"/>
        </w:pBdr>
      </w:pPr>
      <w:r>
        <w:rPr>
          <w:rFonts w:ascii="Calibri" w:hAnsi="Calibri"/>
          <w:b/>
          <w:color w:val="7A5A00"/>
        </w:rPr>
        <w:t xml:space="preserve">CLINICAL SAFETY: </w:t>
      </w:r>
      <w:r>
        <w:rPr>
          <w:rFonts w:ascii="Calibri" w:hAnsi="Calibri"/>
          <w:color w:val="1F2937"/>
        </w:rPr>
        <w:t>Follow your normal standard of care. Do not delay necessary investigations, referrals, supervision, or treatment because of OrthoAI.</w:t>
      </w: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color w:val="4F46E5"/>
          <w:sz w:val="20"/>
        </w:rPr>
        <w:t>STEP 1 OF 3</w:t>
      </w:r>
    </w:p>
    <w:p>
      <w:pPr>
        <w:keepNext/>
        <w:spacing w:before="0" w:after="100"/>
      </w:pPr>
      <w:r>
        <w:rPr>
          <w:rFonts w:ascii="Calibri" w:hAnsi="Calibri"/>
          <w:b/>
          <w:color w:val="17324D"/>
          <w:sz w:val="48"/>
        </w:rPr>
        <w:t>Sign in</w:t>
      </w:r>
    </w:p>
    <w:p>
      <w:pPr>
        <w:spacing w:after="240"/>
      </w:pPr>
      <w:r>
        <w:rPr>
          <w:rFonts w:ascii="Calibri" w:hAnsi="Calibri"/>
          <w:color w:val="5B6573"/>
          <w:sz w:val="24"/>
        </w:rPr>
        <w:t>Use your own professional email and the one-time password sent to you.</w:t>
      </w:r>
    </w:p>
    <w:p>
      <w:pPr>
        <w:spacing w:after="80" w:line="300" w:lineRule="auto"/>
        <w:ind w:left="540" w:hanging="270"/>
        <w:numPr>
          <w:ilvl w:val="0"/>
          <w:numId w:val="10"/>
        </w:numPr>
      </w:pPr>
      <w:r>
        <w:rPr>
          <w:rFonts w:ascii="Calibri" w:hAnsi="Calibri"/>
        </w:rPr>
        <w:t>Open https://demo.orthoai.co in your browser.</w:t>
      </w:r>
    </w:p>
    <w:p>
      <w:pPr>
        <w:spacing w:after="80" w:line="300" w:lineRule="auto"/>
        <w:ind w:left="540" w:hanging="270"/>
        <w:numPr>
          <w:ilvl w:val="0"/>
          <w:numId w:val="10"/>
        </w:numPr>
      </w:pPr>
      <w:r>
        <w:rPr>
          <w:rFonts w:ascii="Calibri" w:hAnsi="Calibri"/>
        </w:rPr>
        <w:t>Enter your professional email address and select “Send OTP Code”.</w:t>
      </w:r>
    </w:p>
    <w:p>
      <w:pPr>
        <w:spacing w:after="80" w:line="300" w:lineRule="auto"/>
        <w:ind w:left="540" w:hanging="270"/>
        <w:numPr>
          <w:ilvl w:val="0"/>
          <w:numId w:val="10"/>
        </w:numPr>
      </w:pPr>
      <w:r>
        <w:rPr>
          <w:rFonts w:ascii="Calibri" w:hAnsi="Calibri"/>
        </w:rPr>
        <w:t>Open the email containing your one-time password (OTP), enter the code, and select “Sign In”.</w:t>
      </w:r>
    </w:p>
    <w:p>
      <w:pPr>
        <w:spacing w:after="80" w:line="300" w:lineRule="auto"/>
        <w:ind w:left="540" w:hanging="270"/>
        <w:numPr>
          <w:ilvl w:val="0"/>
          <w:numId w:val="10"/>
        </w:numPr>
      </w:pPr>
      <w:r>
        <w:rPr>
          <w:rFonts w:ascii="Calibri" w:hAnsi="Calibri"/>
        </w:rPr>
        <w:t>On your first visit, read the Terms &amp; Data Use Agreement, tick the confirmation box, and select “Accept &amp; Continue”.</w:t>
      </w:r>
    </w:p>
    <w:p>
      <w:pPr>
        <w:spacing w:after="80" w:line="300" w:lineRule="auto"/>
        <w:ind w:left="540" w:hanging="270"/>
        <w:numPr>
          <w:ilvl w:val="0"/>
          <w:numId w:val="10"/>
        </w:numPr>
      </w:pPr>
      <w:r>
        <w:rPr>
          <w:rFonts w:ascii="Calibri" w:hAnsi="Calibri"/>
        </w:rPr>
        <w:t>You will arrive at “Diagnose a Case”.</w:t>
      </w:r>
    </w:p>
    <w:p>
      <w:pPr>
        <w:spacing w:before="80" w:after="160" w:line="288" w:lineRule="auto"/>
        <w:ind w:left="115" w:right="115"/>
        <w:shd w:val="clear" w:fill="EEF2FF"/>
        <w:pBdr>
          <w:left w:val="single" w:sz="18" w:space="8" w:color="4F46E5"/>
        </w:pBdr>
      </w:pPr>
      <w:r>
        <w:rPr>
          <w:rFonts w:ascii="Calibri" w:hAnsi="Calibri"/>
          <w:b/>
          <w:color w:val="4F46E5"/>
        </w:rPr>
        <w:t xml:space="preserve">OTP NOT RECEIVED?: </w:t>
      </w:r>
      <w:r>
        <w:rPr>
          <w:rFonts w:ascii="Calibri" w:hAnsi="Calibri"/>
          <w:color w:val="1F2937"/>
        </w:rPr>
        <w:t>Check the email address, wait briefly, look in spam or junk, then use “Resend OTP”. If it still does not arrive, contact the study team.</w:t>
      </w:r>
    </w:p>
    <w:p>
      <w:pPr>
        <w:pStyle w:val="Heading1"/>
      </w:pPr>
      <w:r>
        <w:t>The only three destinations you need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val="clear"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7324D"/>
              </w:rPr>
              <w:t>Menu item</w:t>
            </w:r>
          </w:p>
        </w:tc>
        <w:tc>
          <w:tcPr>
            <w:tcW w:type="dxa" w:w="6840"/>
            <w:shd w:val="clear"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7324D"/>
              </w:rPr>
              <w:t>What it does</w:t>
            </w:r>
          </w:p>
        </w:tc>
      </w:tr>
      <w:tr>
        <w:trPr/>
        <w:tc>
          <w:tcPr>
            <w:tcW w:type="dxa" w:w="25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1"/>
              </w:rPr>
              <w:t>Diagnose a Case</w:t>
            </w:r>
          </w:p>
        </w:tc>
        <w:tc>
          <w:tcPr>
            <w:tcW w:type="dxa" w:w="68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1"/>
              </w:rPr>
              <w:t>Create a case, add de-identified images, and start OrthoAI processing.</w:t>
            </w:r>
          </w:p>
        </w:tc>
      </w:tr>
      <w:tr>
        <w:trPr/>
        <w:tc>
          <w:tcPr>
            <w:tcW w:type="dxa" w:w="25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1"/>
              </w:rPr>
              <w:t>Research Mode</w:t>
            </w:r>
          </w:p>
        </w:tc>
        <w:tc>
          <w:tcPr>
            <w:tcW w:type="dxa" w:w="68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1"/>
              </w:rPr>
              <w:t>Record your independent assessment, view the AI comparison, and submit your final decision.</w:t>
            </w:r>
          </w:p>
        </w:tc>
      </w:tr>
      <w:tr>
        <w:trPr/>
        <w:tc>
          <w:tcPr>
            <w:tcW w:type="dxa" w:w="25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1"/>
              </w:rPr>
              <w:t>Cases</w:t>
            </w:r>
          </w:p>
        </w:tc>
        <w:tc>
          <w:tcPr>
            <w:tcW w:type="dxa" w:w="68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1"/>
              </w:rPr>
              <w:t>See completed work and intentionally repeat a diagnosis or research review when required.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115" w:right="115"/>
        <w:shd w:val="clear" w:fill="ECFDF5"/>
        <w:pBdr>
          <w:left w:val="single" w:sz="18" w:space="8" w:color="0F766E"/>
        </w:pBdr>
      </w:pPr>
      <w:r>
        <w:rPr>
          <w:rFonts w:ascii="Calibri" w:hAnsi="Calibri"/>
          <w:b/>
          <w:color w:val="0F766E"/>
        </w:rPr>
        <w:t xml:space="preserve">SUCCESS CHECK: </w:t>
      </w:r>
      <w:r>
        <w:rPr>
          <w:rFonts w:ascii="Calibri" w:hAnsi="Calibri"/>
          <w:color w:val="1F2937"/>
        </w:rPr>
        <w:t>You can see “Diagnose a Case” at the top of the page.</w:t>
      </w: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color w:val="4F46E5"/>
          <w:sz w:val="20"/>
        </w:rPr>
        <w:t>STEP 2 OF 3</w:t>
      </w:r>
    </w:p>
    <w:p>
      <w:pPr>
        <w:keepNext/>
        <w:spacing w:before="0" w:after="100"/>
      </w:pPr>
      <w:r>
        <w:rPr>
          <w:rFonts w:ascii="Calibri" w:hAnsi="Calibri"/>
          <w:b/>
          <w:color w:val="17324D"/>
          <w:sz w:val="48"/>
        </w:rPr>
        <w:t>Diagnose a Case</w:t>
      </w:r>
    </w:p>
    <w:p>
      <w:pPr>
        <w:spacing w:after="240"/>
      </w:pPr>
      <w:r>
        <w:rPr>
          <w:rFonts w:ascii="Calibri" w:hAnsi="Calibri"/>
          <w:color w:val="5B6573"/>
          <w:sz w:val="24"/>
        </w:rPr>
        <w:t>Create one clean case record, add images, and start processing.</w:t>
      </w:r>
    </w:p>
    <w:p>
      <w:pPr>
        <w:spacing w:after="80" w:line="300" w:lineRule="auto"/>
        <w:ind w:left="540" w:hanging="270"/>
        <w:numPr>
          <w:ilvl w:val="0"/>
          <w:numId w:val="11"/>
        </w:numPr>
      </w:pPr>
      <w:r>
        <w:rPr>
          <w:rFonts w:ascii="Calibri" w:hAnsi="Calibri"/>
        </w:rPr>
        <w:t>Enter the approved Patient ID/Code. Never enter the patient’s name.</w:t>
      </w:r>
    </w:p>
    <w:p>
      <w:pPr>
        <w:spacing w:after="80" w:line="300" w:lineRule="auto"/>
        <w:ind w:left="540" w:hanging="270"/>
        <w:numPr>
          <w:ilvl w:val="0"/>
          <w:numId w:val="11"/>
        </w:numPr>
      </w:pPr>
      <w:r>
        <w:rPr>
          <w:rFonts w:ascii="Calibri" w:hAnsi="Calibri"/>
        </w:rPr>
        <w:t>Add a short Case Title if helpful, such as “Routine assessment”. Avoid identifying details.</w:t>
      </w:r>
    </w:p>
    <w:p>
      <w:pPr>
        <w:spacing w:after="80" w:line="300" w:lineRule="auto"/>
        <w:ind w:left="540" w:hanging="270"/>
        <w:numPr>
          <w:ilvl w:val="0"/>
          <w:numId w:val="11"/>
        </w:numPr>
      </w:pPr>
      <w:r>
        <w:rPr>
          <w:rFonts w:ascii="Calibri" w:hAnsi="Calibri"/>
        </w:rPr>
        <w:t>Add the clinic location, modality tags, or notes only when these are allowed and useful.</w:t>
      </w:r>
    </w:p>
    <w:p>
      <w:pPr>
        <w:spacing w:after="80" w:line="300" w:lineRule="auto"/>
        <w:ind w:left="540" w:hanging="270"/>
        <w:numPr>
          <w:ilvl w:val="0"/>
          <w:numId w:val="11"/>
        </w:numPr>
      </w:pPr>
      <w:r>
        <w:rPr>
          <w:rFonts w:ascii="Calibri" w:hAnsi="Calibri"/>
        </w:rPr>
        <w:t>Select “Add Images” and choose the de-identified clinical files.</w:t>
      </w:r>
    </w:p>
    <w:p>
      <w:pPr>
        <w:spacing w:after="80" w:line="300" w:lineRule="auto"/>
        <w:ind w:left="540" w:hanging="270"/>
        <w:numPr>
          <w:ilvl w:val="0"/>
          <w:numId w:val="11"/>
        </w:numPr>
      </w:pPr>
      <w:r>
        <w:rPr>
          <w:rFonts w:ascii="Calibri" w:hAnsi="Calibri"/>
        </w:rPr>
        <w:t>Check that each file is correct, readable, and assigned to the correct modality.</w:t>
      </w:r>
    </w:p>
    <w:p>
      <w:pPr>
        <w:spacing w:after="80" w:line="300" w:lineRule="auto"/>
        <w:ind w:left="540" w:hanging="270"/>
        <w:numPr>
          <w:ilvl w:val="0"/>
          <w:numId w:val="11"/>
        </w:numPr>
      </w:pPr>
      <w:r>
        <w:rPr>
          <w:rFonts w:ascii="Calibri" w:hAnsi="Calibri"/>
        </w:rPr>
        <w:t>Tick the consent and authority confirmation.</w:t>
      </w:r>
    </w:p>
    <w:p>
      <w:pPr>
        <w:spacing w:after="80" w:line="300" w:lineRule="auto"/>
        <w:ind w:left="540" w:hanging="270"/>
        <w:numPr>
          <w:ilvl w:val="0"/>
          <w:numId w:val="11"/>
        </w:numPr>
      </w:pPr>
      <w:r>
        <w:rPr>
          <w:rFonts w:ascii="Calibri" w:hAnsi="Calibri"/>
        </w:rPr>
        <w:t>Select “Run Analysis”.</w:t>
      </w:r>
    </w:p>
    <w:p>
      <w:pPr>
        <w:pStyle w:val="Heading1"/>
      </w:pPr>
      <w:r>
        <w:t>While OrthoAI is processing</w:t>
      </w:r>
    </w:p>
    <w:p>
      <w:pPr>
        <w:spacing w:after="80" w:line="300" w:lineRule="auto"/>
        <w:ind w:left="540" w:hanging="270"/>
        <w:numPr>
          <w:ilvl w:val="0"/>
          <w:numId w:val="14"/>
        </w:numPr>
      </w:pPr>
      <w:r>
        <w:rPr>
          <w:rFonts w:ascii="Calibri" w:hAnsi="Calibri"/>
        </w:rPr>
        <w:t>The page moves through queued, processing, generating, and complete states.</w:t>
      </w:r>
    </w:p>
    <w:p>
      <w:pPr>
        <w:spacing w:after="80" w:line="300" w:lineRule="auto"/>
        <w:ind w:left="540" w:hanging="270"/>
        <w:numPr>
          <w:ilvl w:val="0"/>
          <w:numId w:val="14"/>
        </w:numPr>
      </w:pPr>
      <w:r>
        <w:rPr>
          <w:rFonts w:ascii="Calibri" w:hAnsi="Calibri"/>
        </w:rPr>
        <w:t>Do not start a second copy of the same case because the progress appears slow.</w:t>
      </w:r>
    </w:p>
    <w:p>
      <w:pPr>
        <w:spacing w:after="80" w:line="300" w:lineRule="auto"/>
        <w:ind w:left="540" w:hanging="270"/>
        <w:numPr>
          <w:ilvl w:val="0"/>
          <w:numId w:val="14"/>
        </w:numPr>
      </w:pPr>
      <w:r>
        <w:rPr>
          <w:rFonts w:ascii="Calibri" w:hAnsi="Calibri"/>
        </w:rPr>
        <w:t>When the “Diagnosis complete” window appears, select the wide “Start the research review now” button.</w:t>
      </w:r>
    </w:p>
    <w:p>
      <w:pPr>
        <w:spacing w:before="80" w:after="160" w:line="288" w:lineRule="auto"/>
        <w:ind w:left="115" w:right="115"/>
        <w:shd w:val="clear" w:fill="FFF8E8"/>
        <w:pBdr>
          <w:left w:val="single" w:sz="18" w:space="8" w:color="7A5A00"/>
        </w:pBdr>
      </w:pPr>
      <w:r>
        <w:rPr>
          <w:rFonts w:ascii="Calibri" w:hAnsi="Calibri"/>
          <w:b/>
          <w:color w:val="7A5A00"/>
        </w:rPr>
        <w:t xml:space="preserve">IMPORTANT HANDOFF: </w:t>
      </w:r>
      <w:r>
        <w:rPr>
          <w:rFonts w:ascii="Calibri" w:hAnsi="Calibri"/>
          <w:color w:val="1F2937"/>
        </w:rPr>
        <w:t>Do not stop at “Diagnosis complete”. The case is not finished for the pilot until you complete Research Mode and reach Cases.</w:t>
      </w:r>
    </w:p>
    <w:p>
      <w:pPr>
        <w:spacing w:before="80" w:after="160" w:line="288" w:lineRule="auto"/>
        <w:ind w:left="115" w:right="115"/>
        <w:shd w:val="clear" w:fill="FEF2F2"/>
        <w:pBdr>
          <w:left w:val="single" w:sz="18" w:space="8" w:color="9B1C1C"/>
        </w:pBdr>
      </w:pPr>
      <w:r>
        <w:rPr>
          <w:rFonts w:ascii="Calibri" w:hAnsi="Calibri"/>
          <w:b/>
          <w:color w:val="9B1C1C"/>
        </w:rPr>
        <w:t xml:space="preserve">WRONG IMAGE?: </w:t>
      </w:r>
      <w:r>
        <w:rPr>
          <w:rFonts w:ascii="Calibri" w:hAnsi="Calibri"/>
          <w:color w:val="1F2937"/>
        </w:rPr>
        <w:t>Do not continue with a mismatched patient or poor-quality study. Stop, follow your clinic’s correction process, and create or repeat the case only when appropriate.</w:t>
      </w: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color w:val="4F46E5"/>
          <w:sz w:val="20"/>
        </w:rPr>
        <w:t>RESEARCH MODE • PART A</w:t>
      </w:r>
    </w:p>
    <w:p>
      <w:pPr>
        <w:keepNext/>
        <w:spacing w:before="0" w:after="100"/>
      </w:pPr>
      <w:r>
        <w:rPr>
          <w:rFonts w:ascii="Calibri" w:hAnsi="Calibri"/>
          <w:b/>
          <w:color w:val="17324D"/>
          <w:sz w:val="48"/>
        </w:rPr>
        <w:t>Record your decision before seeing AI</w:t>
      </w:r>
    </w:p>
    <w:p>
      <w:pPr>
        <w:spacing w:after="240"/>
      </w:pPr>
      <w:r>
        <w:rPr>
          <w:rFonts w:ascii="Calibri" w:hAnsi="Calibri"/>
          <w:color w:val="5B6573"/>
          <w:sz w:val="24"/>
        </w:rPr>
        <w:t>The AI result stays hidden so the study can measure your independent clinical judgment.</w:t>
      </w:r>
    </w:p>
    <w:p>
      <w:pPr>
        <w:spacing w:before="80" w:after="160" w:line="288" w:lineRule="auto"/>
        <w:ind w:left="115" w:right="115"/>
        <w:shd w:val="clear" w:fill="ECFDF5"/>
        <w:pBdr>
          <w:left w:val="single" w:sz="18" w:space="8" w:color="0F766E"/>
        </w:pBdr>
      </w:pPr>
      <w:r>
        <w:rPr>
          <w:rFonts w:ascii="Calibri" w:hAnsi="Calibri"/>
          <w:b/>
          <w:color w:val="0F766E"/>
        </w:rPr>
        <w:t xml:space="preserve">AI HIDDEN: </w:t>
      </w:r>
      <w:r>
        <w:rPr>
          <w:rFonts w:ascii="Calibri" w:hAnsi="Calibri"/>
          <w:color w:val="1F2937"/>
        </w:rPr>
        <w:t>Assess the case exactly as you normally would. Do not try to predict what OrthoAI might say.</w:t>
      </w:r>
    </w:p>
    <w:p>
      <w:pPr>
        <w:pStyle w:val="Heading1"/>
      </w:pPr>
      <w:r>
        <w:t>Complete the required fields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76"/>
        <w:gridCol w:w="6984"/>
      </w:tblGrid>
      <w:tr>
        <w:trPr>
          <w:tblHeader w:val="true"/>
        </w:trPr>
        <w:tc>
          <w:tcPr>
            <w:tcW w:type="dxa" w:w="2376"/>
            <w:shd w:val="clear"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7324D"/>
              </w:rPr>
              <w:t>Field</w:t>
            </w:r>
          </w:p>
        </w:tc>
        <w:tc>
          <w:tcPr>
            <w:tcW w:type="dxa" w:w="6984"/>
            <w:shd w:val="clear"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7324D"/>
              </w:rPr>
              <w:t>What to enter</w:t>
            </w:r>
          </w:p>
        </w:tc>
      </w:tr>
      <w:tr>
        <w:trPr/>
        <w:tc>
          <w:tcPr>
            <w:tcW w:type="dxa" w:w="23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1"/>
              </w:rPr>
              <w:t>Malocclusion class</w:t>
            </w:r>
          </w:p>
        </w:tc>
        <w:tc>
          <w:tcPr>
            <w:tcW w:type="dxa" w:w="69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1"/>
              </w:rPr>
              <w:t>Your independent classification: Class I, Class II division 1, Class II division 2, Class III, or Unclassifiable.</w:t>
            </w:r>
          </w:p>
        </w:tc>
      </w:tr>
      <w:tr>
        <w:trPr/>
        <w:tc>
          <w:tcPr>
            <w:tcW w:type="dxa" w:w="23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1"/>
              </w:rPr>
              <w:t>IOTN DHC</w:t>
            </w:r>
          </w:p>
        </w:tc>
        <w:tc>
          <w:tcPr>
            <w:tcW w:type="dxa" w:w="69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1"/>
              </w:rPr>
              <w:t>Your Dental Health Component grade from 1 to 5.</w:t>
            </w:r>
          </w:p>
        </w:tc>
      </w:tr>
      <w:tr>
        <w:trPr/>
        <w:tc>
          <w:tcPr>
            <w:tcW w:type="dxa" w:w="23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1"/>
              </w:rPr>
              <w:t>IOTN AC</w:t>
            </w:r>
          </w:p>
        </w:tc>
        <w:tc>
          <w:tcPr>
            <w:tcW w:type="dxa" w:w="69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1"/>
              </w:rPr>
              <w:t>Optional Aesthetic Component grade from 1 to 10 when clinically appropriate.</w:t>
            </w:r>
          </w:p>
        </w:tc>
      </w:tr>
      <w:tr>
        <w:trPr/>
        <w:tc>
          <w:tcPr>
            <w:tcW w:type="dxa" w:w="23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1"/>
              </w:rPr>
              <w:t>Clinical action</w:t>
            </w:r>
          </w:p>
        </w:tc>
        <w:tc>
          <w:tcPr>
            <w:tcW w:type="dxa" w:w="69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1"/>
              </w:rPr>
              <w:t>Optional intended action, such as routine follow-up, further assessment, referral, or treatment planning.</w:t>
            </w:r>
          </w:p>
        </w:tc>
      </w:tr>
      <w:tr>
        <w:trPr/>
        <w:tc>
          <w:tcPr>
            <w:tcW w:type="dxa" w:w="23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1"/>
              </w:rPr>
              <w:t>Confidence</w:t>
            </w:r>
          </w:p>
        </w:tc>
        <w:tc>
          <w:tcPr>
            <w:tcW w:type="dxa" w:w="69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1"/>
              </w:rPr>
              <w:t>How confident you are in your own assessment, from 0% to 100%.</w:t>
            </w:r>
          </w:p>
        </w:tc>
      </w:tr>
    </w:tbl>
    <w:p>
      <w:pPr>
        <w:spacing w:after="40"/>
      </w:pPr>
    </w:p>
    <w:p>
      <w:pPr>
        <w:spacing w:after="80" w:line="300" w:lineRule="auto"/>
        <w:ind w:left="540" w:hanging="270"/>
        <w:numPr>
          <w:ilvl w:val="0"/>
          <w:numId w:val="12"/>
        </w:numPr>
      </w:pPr>
      <w:r>
        <w:rPr>
          <w:rFonts w:ascii="Calibri" w:hAnsi="Calibri"/>
        </w:rPr>
        <w:t>Review your entries once.</w:t>
      </w:r>
    </w:p>
    <w:p>
      <w:pPr>
        <w:spacing w:after="80" w:line="300" w:lineRule="auto"/>
        <w:ind w:left="540" w:hanging="270"/>
        <w:numPr>
          <w:ilvl w:val="0"/>
          <w:numId w:val="12"/>
        </w:numPr>
      </w:pPr>
      <w:r>
        <w:rPr>
          <w:rFonts w:ascii="Calibri" w:hAnsi="Calibri"/>
        </w:rPr>
        <w:t>Select “Submit initial assessment”.</w:t>
      </w:r>
    </w:p>
    <w:p>
      <w:pPr>
        <w:spacing w:after="80" w:line="300" w:lineRule="auto"/>
        <w:ind w:left="540" w:hanging="270"/>
        <w:numPr>
          <w:ilvl w:val="0"/>
          <w:numId w:val="12"/>
        </w:numPr>
      </w:pPr>
      <w:r>
        <w:rPr>
          <w:rFonts w:ascii="Calibri" w:hAnsi="Calibri"/>
        </w:rPr>
        <w:t>Wait for the AI comparison to appear.</w:t>
      </w:r>
    </w:p>
    <w:p>
      <w:pPr>
        <w:spacing w:before="80" w:after="160" w:line="288" w:lineRule="auto"/>
        <w:ind w:left="115" w:right="115"/>
        <w:shd w:val="clear" w:fill="EEF2FF"/>
        <w:pBdr>
          <w:left w:val="single" w:sz="18" w:space="8" w:color="4F46E5"/>
        </w:pBdr>
      </w:pPr>
      <w:r>
        <w:rPr>
          <w:rFonts w:ascii="Calibri" w:hAnsi="Calibri"/>
          <w:b/>
          <w:color w:val="4F46E5"/>
        </w:rPr>
        <w:t xml:space="preserve">WHY THIS MATTERS: </w:t>
      </w:r>
      <w:r>
        <w:rPr>
          <w:rFonts w:ascii="Calibri" w:hAnsi="Calibri"/>
          <w:color w:val="1F2937"/>
        </w:rPr>
        <w:t>Your initial response is locked before AI is revealed. This lets the research team measure how AI changes decisions without mixing the two stages.</w:t>
      </w:r>
    </w:p>
    <w:p>
      <w:pPr>
        <w:spacing w:before="80" w:after="160" w:line="288" w:lineRule="auto"/>
        <w:ind w:left="115" w:right="115"/>
        <w:shd w:val="clear" w:fill="EEF2FF"/>
        <w:pBdr>
          <w:left w:val="single" w:sz="18" w:space="8" w:color="4F46E5"/>
        </w:pBdr>
      </w:pPr>
      <w:r>
        <w:rPr>
          <w:rFonts w:ascii="Calibri" w:hAnsi="Calibri"/>
          <w:b/>
          <w:color w:val="4F46E5"/>
        </w:rPr>
        <w:t xml:space="preserve">TIMING: </w:t>
      </w:r>
      <w:r>
        <w:rPr>
          <w:rFonts w:ascii="Calibri" w:hAnsi="Calibri"/>
          <w:color w:val="1F2937"/>
        </w:rPr>
        <w:t>The study records active decision time and separates idle periods. Work naturally; there is no need to rush.</w:t>
      </w: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color w:val="4F46E5"/>
          <w:sz w:val="20"/>
        </w:rPr>
        <w:t>RESEARCH MODE • PART B</w:t>
      </w:r>
    </w:p>
    <w:p>
      <w:pPr>
        <w:keepNext/>
        <w:spacing w:before="0" w:after="100"/>
      </w:pPr>
      <w:r>
        <w:rPr>
          <w:rFonts w:ascii="Calibri" w:hAnsi="Calibri"/>
          <w:b/>
          <w:color w:val="17324D"/>
          <w:sz w:val="48"/>
        </w:rPr>
        <w:t>Compare with OrthoAI and finish</w:t>
      </w:r>
    </w:p>
    <w:p>
      <w:pPr>
        <w:spacing w:after="240"/>
      </w:pPr>
      <w:r>
        <w:rPr>
          <w:rFonts w:ascii="Calibri" w:hAnsi="Calibri"/>
          <w:color w:val="5B6573"/>
          <w:sz w:val="24"/>
        </w:rPr>
        <w:t>Use the AI as evidence to consider, then submit your own final clinical decision.</w:t>
      </w:r>
    </w:p>
    <w:p>
      <w:pPr>
        <w:pStyle w:val="Heading1"/>
      </w:pPr>
      <w:r>
        <w:t>What appears after your initial assessment</w:t>
      </w:r>
    </w:p>
    <w:p>
      <w:pPr>
        <w:spacing w:after="80" w:line="300" w:lineRule="auto"/>
        <w:ind w:left="540" w:hanging="270"/>
        <w:numPr>
          <w:ilvl w:val="0"/>
          <w:numId w:val="14"/>
        </w:numPr>
      </w:pPr>
      <w:r>
        <w:rPr>
          <w:rFonts w:ascii="Calibri" w:hAnsi="Calibri"/>
        </w:rPr>
        <w:t>The OrthoAI predicted class.</w:t>
      </w:r>
    </w:p>
    <w:p>
      <w:pPr>
        <w:spacing w:after="80" w:line="300" w:lineRule="auto"/>
        <w:ind w:left="540" w:hanging="270"/>
        <w:numPr>
          <w:ilvl w:val="0"/>
          <w:numId w:val="14"/>
        </w:numPr>
      </w:pPr>
      <w:r>
        <w:rPr>
          <w:rFonts w:ascii="Calibri" w:hAnsi="Calibri"/>
        </w:rPr>
        <w:t>The model score.</w:t>
      </w:r>
    </w:p>
    <w:p>
      <w:pPr>
        <w:spacing w:after="80" w:line="300" w:lineRule="auto"/>
        <w:ind w:left="540" w:hanging="270"/>
        <w:numPr>
          <w:ilvl w:val="0"/>
          <w:numId w:val="14"/>
        </w:numPr>
      </w:pPr>
      <w:r>
        <w:rPr>
          <w:rFonts w:ascii="Calibri" w:hAnsi="Calibri"/>
        </w:rPr>
        <w:t>The number and types of detected findings.</w:t>
      </w:r>
    </w:p>
    <w:p>
      <w:pPr>
        <w:spacing w:after="80" w:line="300" w:lineRule="auto"/>
        <w:ind w:left="540" w:hanging="270"/>
        <w:numPr>
          <w:ilvl w:val="0"/>
          <w:numId w:val="14"/>
        </w:numPr>
      </w:pPr>
      <w:r>
        <w:rPr>
          <w:rFonts w:ascii="Calibri" w:hAnsi="Calibri"/>
        </w:rPr>
        <w:t>A short result summary and quantitative evidence.</w:t>
      </w:r>
    </w:p>
    <w:p>
      <w:pPr>
        <w:spacing w:before="80" w:after="160" w:line="288" w:lineRule="auto"/>
        <w:ind w:left="115" w:right="115"/>
        <w:shd w:val="clear" w:fill="FFF8E8"/>
        <w:pBdr>
          <w:left w:val="single" w:sz="18" w:space="8" w:color="7A5A00"/>
        </w:pBdr>
      </w:pPr>
      <w:r>
        <w:rPr>
          <w:rFonts w:ascii="Calibri" w:hAnsi="Calibri"/>
          <w:b/>
          <w:color w:val="7A5A00"/>
        </w:rPr>
        <w:t xml:space="preserve">MODEL SCORE: </w:t>
      </w:r>
      <w:r>
        <w:rPr>
          <w:rFonts w:ascii="Calibri" w:hAnsi="Calibri"/>
          <w:color w:val="1F2937"/>
        </w:rPr>
        <w:t>Treat the displayed score as model output, not as a guaranteed or calibrated probability of clinical correctness.</w:t>
      </w:r>
    </w:p>
    <w:p>
      <w:pPr>
        <w:pStyle w:val="Heading1"/>
      </w:pPr>
      <w:r>
        <w:t>Submit your final decision</w:t>
      </w:r>
    </w:p>
    <w:p>
      <w:pPr>
        <w:spacing w:after="80" w:line="300" w:lineRule="auto"/>
        <w:ind w:left="540" w:hanging="270"/>
        <w:numPr>
          <w:ilvl w:val="0"/>
          <w:numId w:val="13"/>
        </w:numPr>
      </w:pPr>
      <w:r>
        <w:rPr>
          <w:rFonts w:ascii="Calibri" w:hAnsi="Calibri"/>
        </w:rPr>
        <w:t>Compare the OrthoAI result with the images and your original assessment.</w:t>
      </w:r>
    </w:p>
    <w:p>
      <w:pPr>
        <w:spacing w:after="80" w:line="300" w:lineRule="auto"/>
        <w:ind w:left="540" w:hanging="270"/>
        <w:numPr>
          <w:ilvl w:val="0"/>
          <w:numId w:val="13"/>
        </w:numPr>
      </w:pPr>
      <w:r>
        <w:rPr>
          <w:rFonts w:ascii="Calibri" w:hAnsi="Calibri"/>
        </w:rPr>
        <w:t>Keep your original answers if the AI does not justify a change.</w:t>
      </w:r>
    </w:p>
    <w:p>
      <w:pPr>
        <w:spacing w:after="80" w:line="300" w:lineRule="auto"/>
        <w:ind w:left="540" w:hanging="270"/>
        <w:numPr>
          <w:ilvl w:val="0"/>
          <w:numId w:val="13"/>
        </w:numPr>
      </w:pPr>
      <w:r>
        <w:rPr>
          <w:rFonts w:ascii="Calibri" w:hAnsi="Calibri"/>
        </w:rPr>
        <w:t>Update any field only when the clinical evidence supports the change.</w:t>
      </w:r>
    </w:p>
    <w:p>
      <w:pPr>
        <w:spacing w:after="80" w:line="300" w:lineRule="auto"/>
        <w:ind w:left="540" w:hanging="270"/>
        <w:numPr>
          <w:ilvl w:val="0"/>
          <w:numId w:val="13"/>
        </w:numPr>
      </w:pPr>
      <w:r>
        <w:rPr>
          <w:rFonts w:ascii="Calibri" w:hAnsi="Calibri"/>
        </w:rPr>
        <w:t>Set your final confidence.</w:t>
      </w:r>
    </w:p>
    <w:p>
      <w:pPr>
        <w:spacing w:after="80" w:line="300" w:lineRule="auto"/>
        <w:ind w:left="540" w:hanging="270"/>
        <w:numPr>
          <w:ilvl w:val="0"/>
          <w:numId w:val="13"/>
        </w:numPr>
      </w:pPr>
      <w:r>
        <w:rPr>
          <w:rFonts w:ascii="Calibri" w:hAnsi="Calibri"/>
        </w:rPr>
        <w:t>Select “Submit final decision”.</w:t>
      </w:r>
    </w:p>
    <w:p>
      <w:pPr>
        <w:spacing w:after="80" w:line="300" w:lineRule="auto"/>
        <w:ind w:left="540" w:hanging="270"/>
        <w:numPr>
          <w:ilvl w:val="0"/>
          <w:numId w:val="13"/>
        </w:numPr>
      </w:pPr>
      <w:r>
        <w:rPr>
          <w:rFonts w:ascii="Calibri" w:hAnsi="Calibri"/>
        </w:rPr>
        <w:t>Complete the short follow-up if it appears. It is designed to take only a moment.</w:t>
      </w:r>
    </w:p>
    <w:p>
      <w:pPr>
        <w:spacing w:after="80" w:line="300" w:lineRule="auto"/>
        <w:ind w:left="540" w:hanging="270"/>
        <w:numPr>
          <w:ilvl w:val="0"/>
          <w:numId w:val="13"/>
        </w:numPr>
      </w:pPr>
      <w:r>
        <w:rPr>
          <w:rFonts w:ascii="Calibri" w:hAnsi="Calibri"/>
        </w:rPr>
        <w:t>Wait for the automatic move to Cases.</w:t>
      </w:r>
    </w:p>
    <w:p>
      <w:pPr>
        <w:spacing w:before="80" w:after="160" w:line="288" w:lineRule="auto"/>
        <w:ind w:left="115" w:right="115"/>
        <w:shd w:val="clear" w:fill="ECFDF5"/>
        <w:pBdr>
          <w:left w:val="single" w:sz="18" w:space="8" w:color="0F766E"/>
        </w:pBdr>
      </w:pPr>
      <w:r>
        <w:rPr>
          <w:rFonts w:ascii="Calibri" w:hAnsi="Calibri"/>
          <w:b/>
          <w:color w:val="0F766E"/>
        </w:rPr>
        <w:t xml:space="preserve">YOU ARE THE DECISION-MAKER: </w:t>
      </w:r>
      <w:r>
        <w:rPr>
          <w:rFonts w:ascii="Calibri" w:hAnsi="Calibri"/>
          <w:color w:val="1F2937"/>
        </w:rPr>
        <w:t>Agreement is not the goal. Appropriate disagreement and justified overrides are valuable study outcomes. Never change an answer merely to match AI.</w:t>
      </w: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color w:val="4F46E5"/>
          <w:sz w:val="20"/>
        </w:rPr>
        <w:t>STEP 3 OF 3</w:t>
      </w:r>
    </w:p>
    <w:p>
      <w:pPr>
        <w:keepNext/>
        <w:spacing w:before="0" w:after="100"/>
      </w:pPr>
      <w:r>
        <w:rPr>
          <w:rFonts w:ascii="Calibri" w:hAnsi="Calibri"/>
          <w:b/>
          <w:color w:val="17324D"/>
          <w:sz w:val="48"/>
        </w:rPr>
        <w:t>Confirm the case in Cases</w:t>
      </w:r>
    </w:p>
    <w:p>
      <w:pPr>
        <w:spacing w:after="240"/>
      </w:pPr>
      <w:r>
        <w:rPr>
          <w:rFonts w:ascii="Calibri" w:hAnsi="Calibri"/>
          <w:color w:val="5B6573"/>
          <w:sz w:val="24"/>
        </w:rPr>
        <w:t>This is the end of the normal journey and your proof that the pilot task is complete.</w:t>
      </w:r>
    </w:p>
    <w:p>
      <w:pPr>
        <w:pStyle w:val="Heading1"/>
      </w:pPr>
      <w:r>
        <w:t>What a completed case shows</w:t>
      </w:r>
    </w:p>
    <w:p>
      <w:pPr>
        <w:spacing w:after="80" w:line="300" w:lineRule="auto"/>
        <w:ind w:left="540" w:hanging="270"/>
        <w:numPr>
          <w:ilvl w:val="0"/>
          <w:numId w:val="14"/>
        </w:numPr>
      </w:pPr>
      <w:r>
        <w:rPr>
          <w:rFonts w:ascii="Calibri" w:hAnsi="Calibri"/>
        </w:rPr>
        <w:t>A “Diagnosis complete” status.</w:t>
      </w:r>
    </w:p>
    <w:p>
      <w:pPr>
        <w:spacing w:after="80" w:line="300" w:lineRule="auto"/>
        <w:ind w:left="540" w:hanging="270"/>
        <w:numPr>
          <w:ilvl w:val="0"/>
          <w:numId w:val="14"/>
        </w:numPr>
      </w:pPr>
      <w:r>
        <w:rPr>
          <w:rFonts w:ascii="Calibri" w:hAnsi="Calibri"/>
        </w:rPr>
        <w:t>A “Research complete” status.</w:t>
      </w:r>
    </w:p>
    <w:p>
      <w:pPr>
        <w:spacing w:after="80" w:line="300" w:lineRule="auto"/>
        <w:ind w:left="540" w:hanging="270"/>
        <w:numPr>
          <w:ilvl w:val="0"/>
          <w:numId w:val="14"/>
        </w:numPr>
      </w:pPr>
      <w:r>
        <w:rPr>
          <w:rFonts w:ascii="Calibri" w:hAnsi="Calibri"/>
        </w:rPr>
        <w:t>The patient code, case title, date, and traceable case number.</w:t>
      </w:r>
    </w:p>
    <w:p>
      <w:pPr>
        <w:spacing w:before="80" w:after="160" w:line="288" w:lineRule="auto"/>
        <w:ind w:left="115" w:right="115"/>
        <w:shd w:val="clear" w:fill="ECFDF5"/>
        <w:pBdr>
          <w:left w:val="single" w:sz="18" w:space="8" w:color="0F766E"/>
        </w:pBdr>
      </w:pPr>
      <w:r>
        <w:rPr>
          <w:rFonts w:ascii="Calibri" w:hAnsi="Calibri"/>
          <w:b/>
          <w:color w:val="0F766E"/>
        </w:rPr>
        <w:t xml:space="preserve">SUCCESS CHECK: </w:t>
      </w:r>
      <w:r>
        <w:rPr>
          <w:rFonts w:ascii="Calibri" w:hAnsi="Calibri"/>
          <w:color w:val="1F2937"/>
        </w:rPr>
        <w:t>The green confirmation states that both the diagnosis and research response have been saved.</w:t>
      </w:r>
    </w:p>
    <w:p>
      <w:pPr>
        <w:pStyle w:val="Heading1"/>
      </w:pPr>
      <w:r>
        <w:t>Actions available on the case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shd w:val="clear"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7324D"/>
              </w:rPr>
              <w:t>Action</w:t>
            </w:r>
          </w:p>
        </w:tc>
        <w:tc>
          <w:tcPr>
            <w:tcW w:type="dxa" w:w="6480"/>
            <w:shd w:val="clear"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7324D"/>
              </w:rPr>
              <w:t>Use it when</w:t>
            </w:r>
          </w:p>
        </w:tc>
      </w:tr>
      <w:tr>
        <w:trPr/>
        <w:tc>
          <w:tcPr>
            <w:tcW w:type="dxa" w:w="28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1"/>
              </w:rPr>
              <w:t>View diagnosis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1"/>
              </w:rPr>
              <w:t>You want to review the AI result after the research assessment is complete.</w:t>
            </w:r>
          </w:p>
        </w:tc>
      </w:tr>
      <w:tr>
        <w:trPr/>
        <w:tc>
          <w:tcPr>
            <w:tcW w:type="dxa" w:w="28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1"/>
              </w:rPr>
              <w:t>Repeat research review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1"/>
              </w:rPr>
              <w:t>You intentionally want to provide a new expert assessment for the same diagnosis.</w:t>
            </w:r>
          </w:p>
        </w:tc>
      </w:tr>
      <w:tr>
        <w:trPr/>
        <w:tc>
          <w:tcPr>
            <w:tcW w:type="dxa" w:w="28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1"/>
              </w:rPr>
              <w:t>Run diagnosis again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1"/>
              </w:rPr>
              <w:t>A new clinical reason requires a fresh OrthoAI run for the same case.</w:t>
            </w:r>
          </w:p>
        </w:tc>
      </w:tr>
      <w:tr>
        <w:trPr/>
        <w:tc>
          <w:tcPr>
            <w:tcW w:type="dxa" w:w="28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1"/>
              </w:rPr>
              <w:t>Diagnose a new case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1"/>
              </w:rPr>
              <w:t>You are ready to begin a separate eligible patient case.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115" w:right="115"/>
        <w:shd w:val="clear" w:fill="EEF2FF"/>
        <w:pBdr>
          <w:left w:val="single" w:sz="18" w:space="8" w:color="4F46E5"/>
        </w:pBdr>
      </w:pPr>
      <w:r>
        <w:rPr>
          <w:rFonts w:ascii="Calibri" w:hAnsi="Calibri"/>
          <w:b/>
          <w:color w:val="4F46E5"/>
        </w:rPr>
        <w:t xml:space="preserve">REPEATS ARE PRESERVED: </w:t>
      </w:r>
      <w:r>
        <w:rPr>
          <w:rFonts w:ascii="Calibri" w:hAnsi="Calibri"/>
          <w:color w:val="1F2937"/>
        </w:rPr>
        <w:t>A repeat creates a new linked attempt. It does not overwrite or delete your earlier completed research record.</w:t>
      </w:r>
    </w:p>
    <w:p>
      <w:pPr>
        <w:spacing w:before="80" w:after="160" w:line="288" w:lineRule="auto"/>
        <w:ind w:left="115" w:right="115"/>
        <w:shd w:val="clear" w:fill="FFF8E8"/>
        <w:pBdr>
          <w:left w:val="single" w:sz="18" w:space="8" w:color="7A5A00"/>
        </w:pBdr>
      </w:pPr>
      <w:r>
        <w:rPr>
          <w:rFonts w:ascii="Calibri" w:hAnsi="Calibri"/>
          <w:b/>
          <w:color w:val="7A5A00"/>
        </w:rPr>
        <w:t xml:space="preserve">AVOID ACCIDENTAL REPEATS: </w:t>
      </w:r>
      <w:r>
        <w:rPr>
          <w:rFonts w:ascii="Calibri" w:hAnsi="Calibri"/>
          <w:color w:val="1F2937"/>
        </w:rPr>
        <w:t>Do not repeat a diagnosis or research review simply because you are unsure whether it saved. Check the status first or contact support.</w:t>
      </w: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color w:val="4F46E5"/>
          <w:sz w:val="20"/>
        </w:rPr>
        <w:t>STUDY TRANSPARENCY</w:t>
      </w:r>
    </w:p>
    <w:p>
      <w:pPr>
        <w:keepNext/>
        <w:spacing w:before="0" w:after="100"/>
      </w:pPr>
      <w:r>
        <w:rPr>
          <w:rFonts w:ascii="Calibri" w:hAnsi="Calibri"/>
          <w:b/>
          <w:color w:val="17324D"/>
          <w:sz w:val="48"/>
        </w:rPr>
        <w:t>What the pilot records</w:t>
      </w:r>
    </w:p>
    <w:p>
      <w:pPr>
        <w:spacing w:after="240"/>
      </w:pPr>
      <w:r>
        <w:rPr>
          <w:rFonts w:ascii="Calibri" w:hAnsi="Calibri"/>
          <w:color w:val="5B6573"/>
          <w:sz w:val="24"/>
        </w:rPr>
        <w:t>These measures help evaluate usability, trust, workload, reliance, and decision changes.</w:t>
      </w:r>
    </w:p>
    <w:p>
      <w:pPr>
        <w:pStyle w:val="Heading1"/>
      </w:pPr>
      <w:r>
        <w:t>Research information collected</w:t>
      </w:r>
    </w:p>
    <w:p>
      <w:pPr>
        <w:spacing w:after="80" w:line="300" w:lineRule="auto"/>
        <w:ind w:left="540" w:hanging="270"/>
        <w:numPr>
          <w:ilvl w:val="0"/>
          <w:numId w:val="14"/>
        </w:numPr>
      </w:pPr>
      <w:r>
        <w:rPr>
          <w:rFonts w:ascii="Calibri" w:hAnsi="Calibri"/>
        </w:rPr>
        <w:t>Your governed participant code, clinic/site, specialty, and experience band.</w:t>
      </w:r>
    </w:p>
    <w:p>
      <w:pPr>
        <w:spacing w:after="80" w:line="300" w:lineRule="auto"/>
        <w:ind w:left="540" w:hanging="270"/>
        <w:numPr>
          <w:ilvl w:val="0"/>
          <w:numId w:val="14"/>
        </w:numPr>
      </w:pPr>
      <w:r>
        <w:rPr>
          <w:rFonts w:ascii="Calibri" w:hAnsi="Calibri"/>
        </w:rPr>
        <w:t>Non-identifying case information and image modality details.</w:t>
      </w:r>
    </w:p>
    <w:p>
      <w:pPr>
        <w:spacing w:after="80" w:line="300" w:lineRule="auto"/>
        <w:ind w:left="540" w:hanging="270"/>
        <w:numPr>
          <w:ilvl w:val="0"/>
          <w:numId w:val="14"/>
        </w:numPr>
      </w:pPr>
      <w:r>
        <w:rPr>
          <w:rFonts w:ascii="Calibri" w:hAnsi="Calibri"/>
        </w:rPr>
        <w:t>Your pre-AI classification, IOTN grades, intended action, and confidence.</w:t>
      </w:r>
    </w:p>
    <w:p>
      <w:pPr>
        <w:spacing w:after="80" w:line="300" w:lineRule="auto"/>
        <w:ind w:left="540" w:hanging="270"/>
        <w:numPr>
          <w:ilvl w:val="0"/>
          <w:numId w:val="14"/>
        </w:numPr>
      </w:pPr>
      <w:r>
        <w:rPr>
          <w:rFonts w:ascii="Calibri" w:hAnsi="Calibri"/>
        </w:rPr>
        <w:t>The exact AI result, model version, quantitative findings, and provenance shown to you.</w:t>
      </w:r>
    </w:p>
    <w:p>
      <w:pPr>
        <w:spacing w:after="80" w:line="300" w:lineRule="auto"/>
        <w:ind w:left="540" w:hanging="270"/>
        <w:numPr>
          <w:ilvl w:val="0"/>
          <w:numId w:val="14"/>
        </w:numPr>
      </w:pPr>
      <w:r>
        <w:rPr>
          <w:rFonts w:ascii="Calibri" w:hAnsi="Calibri"/>
        </w:rPr>
        <w:t>Your final decision, confidence, changes, overrides, and reasons where required.</w:t>
      </w:r>
    </w:p>
    <w:p>
      <w:pPr>
        <w:spacing w:after="80" w:line="300" w:lineRule="auto"/>
        <w:ind w:left="540" w:hanging="270"/>
        <w:numPr>
          <w:ilvl w:val="0"/>
          <w:numId w:val="14"/>
        </w:numPr>
      </w:pPr>
      <w:r>
        <w:rPr>
          <w:rFonts w:ascii="Calibri" w:hAnsi="Calibri"/>
        </w:rPr>
        <w:t>Active decision time, idle periods, phase completion, navigation, AI reveal, and voluntary repeats.</w:t>
      </w:r>
    </w:p>
    <w:p>
      <w:pPr>
        <w:spacing w:after="80" w:line="300" w:lineRule="auto"/>
        <w:ind w:left="540" w:hanging="270"/>
        <w:numPr>
          <w:ilvl w:val="0"/>
          <w:numId w:val="14"/>
        </w:numPr>
      </w:pPr>
      <w:r>
        <w:rPr>
          <w:rFonts w:ascii="Calibri" w:hAnsi="Calibri"/>
        </w:rPr>
        <w:t>Brief trust, workload, usability, or AI-influence questions when enabled by the approved protocol.</w:t>
      </w:r>
    </w:p>
    <w:p>
      <w:pPr>
        <w:spacing w:after="80" w:line="300" w:lineRule="auto"/>
        <w:ind w:left="540" w:hanging="270"/>
        <w:numPr>
          <w:ilvl w:val="0"/>
          <w:numId w:val="14"/>
        </w:numPr>
      </w:pPr>
      <w:r>
        <w:rPr>
          <w:rFonts w:ascii="Calibri" w:hAnsi="Calibri"/>
        </w:rPr>
        <w:t>Technical problems and optional comments.</w:t>
      </w:r>
    </w:p>
    <w:p>
      <w:pPr>
        <w:spacing w:before="80" w:after="160" w:line="288" w:lineRule="auto"/>
        <w:ind w:left="115" w:right="115"/>
        <w:shd w:val="clear" w:fill="EEF2FF"/>
        <w:pBdr>
          <w:left w:val="single" w:sz="18" w:space="8" w:color="4F46E5"/>
        </w:pBdr>
      </w:pPr>
      <w:r>
        <w:rPr>
          <w:rFonts w:ascii="Calibri" w:hAnsi="Calibri"/>
          <w:b/>
          <w:color w:val="4F46E5"/>
        </w:rPr>
        <w:t xml:space="preserve">WHY TWO DECISIONS?: </w:t>
      </w:r>
      <w:r>
        <w:rPr>
          <w:rFonts w:ascii="Calibri" w:hAnsi="Calibri"/>
          <w:color w:val="1F2937"/>
        </w:rPr>
        <w:t>The pre-AI and post-AI answers are stored separately so the study can measure appropriate reliance and decision change. Completed observations cannot be silently overwritten.</w:t>
      </w:r>
    </w:p>
    <w:p>
      <w:pPr>
        <w:spacing w:before="80" w:after="160" w:line="288" w:lineRule="auto"/>
        <w:ind w:left="115" w:right="115"/>
        <w:shd w:val="clear" w:fill="FEF2F2"/>
        <w:pBdr>
          <w:left w:val="single" w:sz="18" w:space="8" w:color="9B1C1C"/>
        </w:pBdr>
      </w:pPr>
      <w:r>
        <w:rPr>
          <w:rFonts w:ascii="Calibri" w:hAnsi="Calibri"/>
          <w:b/>
          <w:color w:val="9B1C1C"/>
        </w:rPr>
        <w:t xml:space="preserve">PRIVACY: </w:t>
      </w:r>
      <w:r>
        <w:rPr>
          <w:rFonts w:ascii="Calibri" w:hAnsi="Calibri"/>
          <w:color w:val="1F2937"/>
        </w:rPr>
        <w:t>Use only the approved case code. If you accidentally expose identifying information, stop and immediately follow your clinic’s incident-reporting process and notify the study team.</w:t>
      </w: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color w:val="4F46E5"/>
          <w:sz w:val="20"/>
        </w:rPr>
        <w:t>HELP</w:t>
      </w:r>
    </w:p>
    <w:p>
      <w:pPr>
        <w:keepNext/>
        <w:spacing w:before="0" w:after="100"/>
      </w:pPr>
      <w:r>
        <w:rPr>
          <w:rFonts w:ascii="Calibri" w:hAnsi="Calibri"/>
          <w:b/>
          <w:color w:val="17324D"/>
          <w:sz w:val="48"/>
        </w:rPr>
        <w:t>Simple troubleshooting</w:t>
      </w:r>
    </w:p>
    <w:p>
      <w:pPr>
        <w:spacing w:after="240"/>
      </w:pPr>
      <w:r>
        <w:rPr>
          <w:rFonts w:ascii="Calibri" w:hAnsi="Calibri"/>
          <w:color w:val="5B6573"/>
          <w:sz w:val="24"/>
        </w:rPr>
        <w:t>Use these checks before starting a duplicate case or repeating work.</w:t>
      </w:r>
    </w:p>
    <w:p>
      <w:pPr>
        <w:spacing w:after="80"/>
      </w:pPr>
      <w:r>
        <w:rPr>
          <w:rFonts w:ascii="Calibri" w:hAnsi="Calibri"/>
          <w:b/>
          <w:color w:val="17324D"/>
        </w:rPr>
        <w:t xml:space="preserve">“Failed to fetch” or page will not load: </w:t>
      </w:r>
      <w:r>
        <w:rPr>
          <w:rFonts w:ascii="Calibri" w:hAnsi="Calibri"/>
        </w:rPr>
        <w:t>Check the clinic internet connection and reload once. If the problem continues, record the time, page, and case code, then contact support. Do not repeatedly submit the same case.</w:t>
      </w:r>
    </w:p>
    <w:p>
      <w:pPr>
        <w:spacing w:after="80"/>
      </w:pPr>
      <w:r>
        <w:rPr>
          <w:rFonts w:ascii="Calibri" w:hAnsi="Calibri"/>
          <w:b/>
          <w:color w:val="17324D"/>
        </w:rPr>
        <w:t xml:space="preserve">OTP does not arrive: </w:t>
      </w:r>
      <w:r>
        <w:rPr>
          <w:rFonts w:ascii="Calibri" w:hAnsi="Calibri"/>
        </w:rPr>
        <w:t>Confirm the email address, check spam/junk, wait briefly, and select Resend OTP. Use your own professional account.</w:t>
      </w:r>
    </w:p>
    <w:p>
      <w:pPr>
        <w:spacing w:after="80"/>
      </w:pPr>
      <w:r>
        <w:rPr>
          <w:rFonts w:ascii="Calibri" w:hAnsi="Calibri"/>
          <w:b/>
          <w:color w:val="17324D"/>
        </w:rPr>
        <w:t xml:space="preserve">Image is rejected: </w:t>
      </w:r>
      <w:r>
        <w:rPr>
          <w:rFonts w:ascii="Calibri" w:hAnsi="Calibri"/>
        </w:rPr>
        <w:t>Check the format, file size, de-identification, and modality. Do not convert or crop in a way that harms clinical interpretation.</w:t>
      </w:r>
    </w:p>
    <w:p>
      <w:pPr>
        <w:spacing w:after="80"/>
      </w:pPr>
      <w:r>
        <w:rPr>
          <w:rFonts w:ascii="Calibri" w:hAnsi="Calibri"/>
          <w:b/>
          <w:color w:val="17324D"/>
        </w:rPr>
        <w:t xml:space="preserve">Diagnosis seems stuck: </w:t>
      </w:r>
      <w:r>
        <w:rPr>
          <w:rFonts w:ascii="Calibri" w:hAnsi="Calibri"/>
        </w:rPr>
        <w:t>Check Cases for an existing active or completed record. Do not start a duplicate unless instructed.</w:t>
      </w:r>
    </w:p>
    <w:p>
      <w:pPr>
        <w:spacing w:after="80"/>
      </w:pPr>
      <w:r>
        <w:rPr>
          <w:rFonts w:ascii="Calibri" w:hAnsi="Calibri"/>
          <w:b/>
          <w:color w:val="17324D"/>
        </w:rPr>
        <w:t xml:space="preserve">Research Mode shows no case: </w:t>
      </w:r>
      <w:r>
        <w:rPr>
          <w:rFonts w:ascii="Calibri" w:hAnsi="Calibri"/>
        </w:rPr>
        <w:t>Return to Diagnose a Case and complete the diagnosis first. Research Mode must remain linked to a completed diagnosis.</w:t>
      </w:r>
    </w:p>
    <w:p>
      <w:pPr>
        <w:spacing w:after="80"/>
      </w:pPr>
      <w:r>
        <w:rPr>
          <w:rFonts w:ascii="Calibri" w:hAnsi="Calibri"/>
          <w:b/>
          <w:color w:val="17324D"/>
        </w:rPr>
        <w:t xml:space="preserve">Wrong patient or wrong image: </w:t>
      </w:r>
      <w:r>
        <w:rPr>
          <w:rFonts w:ascii="Calibri" w:hAnsi="Calibri"/>
        </w:rPr>
        <w:t>Stop immediately and follow your clinic’s correction and incident process. Do not continue the research response.</w:t>
      </w:r>
    </w:p>
    <w:p>
      <w:pPr>
        <w:spacing w:before="80" w:after="160" w:line="288" w:lineRule="auto"/>
        <w:ind w:left="115" w:right="115"/>
        <w:shd w:val="clear" w:fill="FEF2F2"/>
        <w:pBdr>
          <w:left w:val="single" w:sz="18" w:space="8" w:color="9B1C1C"/>
        </w:pBdr>
      </w:pPr>
      <w:r>
        <w:rPr>
          <w:rFonts w:ascii="Calibri" w:hAnsi="Calibri"/>
          <w:b/>
          <w:color w:val="9B1C1C"/>
        </w:rPr>
        <w:t xml:space="preserve">URGENT CLINICAL OR SAFETY CONCERN: </w:t>
      </w:r>
      <w:r>
        <w:rPr>
          <w:rFonts w:ascii="Calibri" w:hAnsi="Calibri"/>
          <w:color w:val="1F2937"/>
        </w:rPr>
        <w:t>Stop using OrthoAI for that case, follow the clinic’s normal escalation pathway, and notify the local clinical lead and study team. Do not rely on the AI output.</w:t>
      </w:r>
    </w:p>
    <w:p>
      <w:pPr>
        <w:pStyle w:val="Heading1"/>
      </w:pPr>
      <w:r>
        <w:t>Contact</w:t>
      </w:r>
    </w:p>
    <w:p>
      <w:pPr>
        <w:spacing w:after="80"/>
      </w:pPr>
      <w:r>
        <w:rPr>
          <w:rFonts w:ascii="Calibri" w:hAnsi="Calibri"/>
          <w:b/>
          <w:color w:val="17324D"/>
        </w:rPr>
        <w:t xml:space="preserve">Technical and participation support: </w:t>
      </w:r>
      <w:hyperlink r:id="rId15">
        <w:r>
          <w:rPr>
            <w:rFonts w:ascii="Calibri" w:hAnsi="Calibri"/>
            <w:color w:val="4F46E5"/>
            <w:u w:val="single"/>
          </w:rPr>
          <w:t>info@orthoai.co</w:t>
        </w:r>
      </w:hyperlink>
    </w:p>
    <w:p>
      <w:r>
        <w:rPr>
          <w:rFonts w:ascii="Calibri" w:hAnsi="Calibri"/>
          <w:b/>
          <w:color w:val="17324D"/>
        </w:rPr>
        <w:t xml:space="preserve">Pilot portal: </w:t>
      </w:r>
      <w:hyperlink r:id="rId14">
        <w:r>
          <w:rPr>
            <w:rFonts w:ascii="Calibri" w:hAnsi="Calibri"/>
            <w:color w:val="4F46E5"/>
            <w:u w:val="single"/>
          </w:rPr>
          <w:t>Open the OrthoAI pilot portal</w:t>
        </w:r>
      </w:hyperlink>
    </w:p>
    <w:p>
      <w:pPr>
        <w:spacing w:before="80" w:after="160" w:line="288" w:lineRule="auto"/>
        <w:ind w:left="115" w:right="115"/>
        <w:shd w:val="clear" w:fill="ECFDF5"/>
        <w:pBdr>
          <w:left w:val="single" w:sz="18" w:space="8" w:color="0F766E"/>
        </w:pBdr>
      </w:pPr>
      <w:r>
        <w:rPr>
          <w:rFonts w:ascii="Calibri" w:hAnsi="Calibri"/>
          <w:b/>
          <w:color w:val="0F766E"/>
        </w:rPr>
        <w:t xml:space="preserve">FINAL REMINDER: </w:t>
      </w:r>
      <w:r>
        <w:rPr>
          <w:rFonts w:ascii="Calibri" w:hAnsi="Calibri"/>
          <w:color w:val="1F2937"/>
        </w:rPr>
        <w:t>Complete the full journey: Diagnose a Case → Research Mode → Cases. A diagnosis alone is not a completed pilot case.</w:t>
      </w: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573"/>
        <w:sz w:val="18"/>
      </w:rPr>
      <w:t>OrthoAI Research Mode v3 • Clinician pilot guide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573"/>
        <w:sz w:val="18"/>
      </w:rPr>
      <w:t xml:space="preserve">OrthoAI clinician guide  •  Page </w:t>
    </w:r>
    <w:r>
      <w:rPr>
        <w:rFonts w:ascii="Calibri" w:hAnsi="Calibri"/>
        <w:color w:val="5B65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573"/>
        <w:sz w:val="17"/>
      </w:rPr>
      <w:t>ORTHOAI  •  CLINICIAN QUICK START  •  RESEARCH MODE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yperlink" Target="https://demo.orthoai.co" TargetMode="External"/><Relationship Id="rId15" Type="http://schemas.openxmlformats.org/officeDocument/2006/relationships/hyperlink" Target="mailto:info@orthoai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OrthoAI Clinician Quick Start Guide - Research Mode v3</dc:title>
  <dc:subject>Beginner-friendly instructions for the OrthoAI clinical pilot</dc:subject>
  <dc:creator>OrthoAI Research Team</dc:creator>
  <cp:keywords>OrthoAI, clinician guide, Research Mode v3, pilot study, HCI</cp:keywords>
  <dc:description>Prepared for approved pilot participants.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