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Mohoney</w:t>
            </w:r>
            <w:proofErr w:type="spellEnd"/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</w:t>
            </w:r>
            <w:proofErr w:type="spellEnd"/>
            <w:r w:rsidR="005714EB">
              <w:rPr>
                <w:rFonts w:ascii="宋体" w:hAnsi="宋体"/>
                <w:color w:val="000000"/>
              </w:rPr>
              <w:t xml:space="preserve">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 xml:space="preserve">hadwick, P </w:t>
            </w:r>
            <w:proofErr w:type="spellStart"/>
            <w:r w:rsidR="00795605">
              <w:rPr>
                <w:rFonts w:ascii="宋体" w:hAnsi="宋体"/>
                <w:color w:val="000000"/>
              </w:rPr>
              <w:t>Cappell</w:t>
            </w:r>
            <w:r w:rsidR="005714EB">
              <w:rPr>
                <w:rFonts w:ascii="宋体" w:hAnsi="宋体"/>
                <w:color w:val="000000"/>
              </w:rPr>
              <w:t>i</w:t>
            </w:r>
            <w:proofErr w:type="spellEnd"/>
            <w:r w:rsid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Herbsleb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Nambisan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8C7230">
              <w:rPr>
                <w:rFonts w:ascii="宋体" w:hAnsi="宋体"/>
                <w:color w:val="000000"/>
              </w:rPr>
              <w:t>Tschang</w:t>
            </w:r>
            <w:proofErr w:type="spellEnd"/>
            <w:r w:rsidR="008C7230">
              <w:rPr>
                <w:rFonts w:ascii="宋体" w:hAnsi="宋体"/>
                <w:color w:val="000000"/>
              </w:rPr>
              <w:t xml:space="preserve">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Peopleware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 xml:space="preserve">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 xml:space="preserve">] Jack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Gido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>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 xml:space="preserve">] Robert K.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Wysocki</w:t>
            </w:r>
            <w:proofErr w:type="spellEnd"/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 xml:space="preserve">2th </w:t>
            </w:r>
            <w:proofErr w:type="gramStart"/>
            <w:r w:rsidR="00704BA0" w:rsidRPr="00BB0AE1">
              <w:rPr>
                <w:rFonts w:ascii="宋体" w:hAnsi="宋体"/>
                <w:color w:val="000000"/>
              </w:rPr>
              <w:t>Edition)[</w:t>
            </w:r>
            <w:proofErr w:type="gramEnd"/>
            <w:r w:rsidR="00704BA0" w:rsidRPr="00BB0AE1">
              <w:rPr>
                <w:rFonts w:ascii="宋体" w:hAnsi="宋体"/>
                <w:color w:val="000000"/>
              </w:rPr>
              <w:t>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2BB02B59" w14:textId="2824A55F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264D5F0F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3E88E770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F07AF0C" w14:textId="39930C07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3C4350">
              <w:rPr>
                <w:rFonts w:ascii="宋体" w:hAnsi="宋体"/>
                <w:color w:val="000000"/>
                <w:kern w:val="0"/>
                <w:szCs w:val="21"/>
              </w:rPr>
              <w:t>P-CMM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725A53F5" w14:textId="131D8424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中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3C4350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过程</w:t>
            </w:r>
          </w:p>
          <w:p w14:paraId="6E6321AE" w14:textId="6A6598FF" w:rsidR="00C24BF7" w:rsidRDefault="00C24B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P-CMM 中的人力资源管理最佳实践</w:t>
            </w:r>
          </w:p>
          <w:p w14:paraId="71F0F248" w14:textId="6C6D57BE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B13039">
              <w:rPr>
                <w:rFonts w:ascii="宋体" w:hAnsi="宋体"/>
                <w:color w:val="000000"/>
                <w:kern w:val="0"/>
                <w:szCs w:val="21"/>
              </w:rPr>
              <w:t>企业</w:t>
            </w:r>
            <w:r w:rsidR="00B13039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人力资源管理中的应用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455DA5E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076E2B78" w14:textId="0E5F1467" w:rsidR="002634C2" w:rsidRDefault="006127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8D570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中人力资源管理</w:t>
            </w:r>
            <w:r w:rsidR="00265FB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过程 </w:t>
            </w:r>
          </w:p>
          <w:p w14:paraId="22BE836C" w14:textId="297501FF" w:rsidR="00C24BF7" w:rsidRDefault="00C24B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PMP中的人力资源管理最佳实践</w:t>
            </w:r>
          </w:p>
          <w:p w14:paraId="42FEAE79" w14:textId="60991BC9" w:rsidR="00961592" w:rsidRDefault="00D760C1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在企业人力资源管理中的应用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08DF970" w14:textId="34B1FFF7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3.2 M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人力资源管理现状调查</w:t>
            </w:r>
          </w:p>
          <w:p w14:paraId="1B4CAAC4" w14:textId="06A52429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3.2.1 第一阶段问卷调查</w:t>
            </w:r>
          </w:p>
          <w:p w14:paraId="3D37A768" w14:textId="4623A92A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第二阶段问卷调查</w:t>
            </w:r>
          </w:p>
          <w:p w14:paraId="6936C087" w14:textId="6DA7ABFC" w:rsidR="002342D2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16DD0C39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E74DE"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3244706E" w:rsidR="002B0AF5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3D70CFA9" w:rsidR="002B0AF5" w:rsidRDefault="00442B88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3.4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519D7BAF" w14:textId="36C7787B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方案</w:t>
            </w:r>
            <w:r w:rsidR="00087DAE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目标</w:t>
            </w:r>
          </w:p>
          <w:p w14:paraId="1D65D01E" w14:textId="2B432F9C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方案的总体内容</w:t>
            </w:r>
          </w:p>
          <w:p w14:paraId="15DEE2B4" w14:textId="76B24D4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方案的</w:t>
            </w:r>
            <w:r w:rsidR="00442B88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思路及其原则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55E1BC7E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解决方案</w:t>
            </w:r>
            <w:r w:rsidR="0083163A">
              <w:rPr>
                <w:rFonts w:ascii="宋体" w:hAnsi="宋体" w:hint="eastAsia"/>
                <w:color w:val="000000"/>
                <w:kern w:val="0"/>
                <w:szCs w:val="21"/>
              </w:rPr>
              <w:t>的具体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内容</w:t>
            </w:r>
          </w:p>
          <w:p w14:paraId="786CF0D7" w14:textId="27A113BD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4.2.1组织结构的调整</w:t>
            </w:r>
          </w:p>
          <w:p w14:paraId="1385817D" w14:textId="2754CF2A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人力资源管理流程设计</w:t>
            </w:r>
          </w:p>
          <w:p w14:paraId="738C31C8" w14:textId="35DAA1DD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人力资源管理实践的选择</w:t>
            </w:r>
          </w:p>
          <w:p w14:paraId="14EB53A6" w14:textId="58C0C16E" w:rsidR="00D823C9" w:rsidRDefault="00D823C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68F11825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5.2 </w:t>
            </w:r>
            <w:r w:rsidR="00804D3B">
              <w:rPr>
                <w:rFonts w:ascii="宋体" w:hAnsi="宋体" w:hint="eastAsia"/>
                <w:color w:val="000000"/>
                <w:kern w:val="0"/>
                <w:szCs w:val="21"/>
              </w:rPr>
              <w:t>实施计划</w:t>
            </w:r>
          </w:p>
          <w:p w14:paraId="45481176" w14:textId="085857C5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>实施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的工作内容</w:t>
            </w:r>
          </w:p>
          <w:p w14:paraId="16910434" w14:textId="147712E0" w:rsidR="00FD2F40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5.2.2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实施的日程安排</w:t>
            </w:r>
          </w:p>
          <w:p w14:paraId="6FA58A09" w14:textId="2745814D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5.2.3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8F087B">
              <w:rPr>
                <w:rFonts w:ascii="宋体" w:hAnsi="宋体" w:hint="eastAsia"/>
                <w:color w:val="000000"/>
                <w:kern w:val="0"/>
                <w:szCs w:val="21"/>
              </w:rPr>
              <w:t>参与人员及其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职责</w:t>
            </w:r>
          </w:p>
          <w:p w14:paraId="56627458" w14:textId="27652C1D" w:rsidR="00532AD9" w:rsidRDefault="00532AD9" w:rsidP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5.2.4 实施的风险控制</w:t>
            </w:r>
            <w:bookmarkStart w:id="0" w:name="_GoBack"/>
            <w:bookmarkEnd w:id="0"/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184B5" w14:textId="77777777" w:rsidR="00A9666C" w:rsidRDefault="00A9666C">
      <w:r>
        <w:separator/>
      </w:r>
    </w:p>
  </w:endnote>
  <w:endnote w:type="continuationSeparator" w:id="0">
    <w:p w14:paraId="18F54823" w14:textId="77777777" w:rsidR="00A9666C" w:rsidRDefault="00A9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17D46">
      <w:rPr>
        <w:rStyle w:val="a3"/>
        <w:noProof/>
      </w:rPr>
      <w:t>7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A8DF2" w14:textId="77777777" w:rsidR="00A9666C" w:rsidRDefault="00A9666C">
      <w:r>
        <w:separator/>
      </w:r>
    </w:p>
  </w:footnote>
  <w:footnote w:type="continuationSeparator" w:id="0">
    <w:p w14:paraId="295F1AD3" w14:textId="77777777" w:rsidR="00A9666C" w:rsidRDefault="00A966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871D75" w:rsidRDefault="00A9666C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87DAE"/>
    <w:rsid w:val="00095096"/>
    <w:rsid w:val="000B225E"/>
    <w:rsid w:val="000B3F5D"/>
    <w:rsid w:val="000B6347"/>
    <w:rsid w:val="000C5048"/>
    <w:rsid w:val="000E7F5C"/>
    <w:rsid w:val="000F6BC7"/>
    <w:rsid w:val="000F71DB"/>
    <w:rsid w:val="00101BEE"/>
    <w:rsid w:val="001045F4"/>
    <w:rsid w:val="00106214"/>
    <w:rsid w:val="00117D46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25770"/>
    <w:rsid w:val="0023052F"/>
    <w:rsid w:val="002342D2"/>
    <w:rsid w:val="00241CD7"/>
    <w:rsid w:val="00261597"/>
    <w:rsid w:val="002634C2"/>
    <w:rsid w:val="00265FB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6219B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5F75"/>
    <w:rsid w:val="0040529B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2AD9"/>
    <w:rsid w:val="00533D94"/>
    <w:rsid w:val="00541A3D"/>
    <w:rsid w:val="00546690"/>
    <w:rsid w:val="005539CA"/>
    <w:rsid w:val="005578D3"/>
    <w:rsid w:val="00567F8D"/>
    <w:rsid w:val="005714EB"/>
    <w:rsid w:val="00576412"/>
    <w:rsid w:val="00584F04"/>
    <w:rsid w:val="00591C4F"/>
    <w:rsid w:val="00592129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4DE"/>
    <w:rsid w:val="006E7BBC"/>
    <w:rsid w:val="006F1D16"/>
    <w:rsid w:val="006F205F"/>
    <w:rsid w:val="006F58B2"/>
    <w:rsid w:val="0070170F"/>
    <w:rsid w:val="00704BA0"/>
    <w:rsid w:val="00706B6B"/>
    <w:rsid w:val="00720D4D"/>
    <w:rsid w:val="0073744F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04D3B"/>
    <w:rsid w:val="00810BDA"/>
    <w:rsid w:val="0083163A"/>
    <w:rsid w:val="00834699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1AFE"/>
    <w:rsid w:val="008C2A01"/>
    <w:rsid w:val="008C5A5F"/>
    <w:rsid w:val="008C7230"/>
    <w:rsid w:val="008D454D"/>
    <w:rsid w:val="008D5707"/>
    <w:rsid w:val="008D75CB"/>
    <w:rsid w:val="008F087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D004B"/>
    <w:rsid w:val="009E4E69"/>
    <w:rsid w:val="009F1B87"/>
    <w:rsid w:val="009F409D"/>
    <w:rsid w:val="009F684C"/>
    <w:rsid w:val="00A521F6"/>
    <w:rsid w:val="00A66B3D"/>
    <w:rsid w:val="00A72C8B"/>
    <w:rsid w:val="00A87126"/>
    <w:rsid w:val="00A87FD8"/>
    <w:rsid w:val="00A9666C"/>
    <w:rsid w:val="00AA7270"/>
    <w:rsid w:val="00AB1490"/>
    <w:rsid w:val="00AB4252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5DEA"/>
    <w:rsid w:val="00B50566"/>
    <w:rsid w:val="00B56045"/>
    <w:rsid w:val="00B6594D"/>
    <w:rsid w:val="00B65D5D"/>
    <w:rsid w:val="00B67F61"/>
    <w:rsid w:val="00B8587C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4BF7"/>
    <w:rsid w:val="00C25384"/>
    <w:rsid w:val="00C37667"/>
    <w:rsid w:val="00C4062D"/>
    <w:rsid w:val="00C52FE7"/>
    <w:rsid w:val="00C71219"/>
    <w:rsid w:val="00C86042"/>
    <w:rsid w:val="00C86BB0"/>
    <w:rsid w:val="00C91C6B"/>
    <w:rsid w:val="00C95E9F"/>
    <w:rsid w:val="00C97ED8"/>
    <w:rsid w:val="00CA4915"/>
    <w:rsid w:val="00CD1A03"/>
    <w:rsid w:val="00CD7593"/>
    <w:rsid w:val="00CE10FD"/>
    <w:rsid w:val="00CF0385"/>
    <w:rsid w:val="00CF4289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4C69"/>
    <w:rsid w:val="00D660DE"/>
    <w:rsid w:val="00D66663"/>
    <w:rsid w:val="00D66ABB"/>
    <w:rsid w:val="00D7583B"/>
    <w:rsid w:val="00D760C1"/>
    <w:rsid w:val="00D823C9"/>
    <w:rsid w:val="00DA6D0D"/>
    <w:rsid w:val="00DC40B5"/>
    <w:rsid w:val="00DD7421"/>
    <w:rsid w:val="00DE0336"/>
    <w:rsid w:val="00DE64B2"/>
    <w:rsid w:val="00DE72FC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1298</Words>
  <Characters>7400</Characters>
  <Application>Microsoft Macintosh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8681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31</cp:revision>
  <cp:lastPrinted>2013-09-18T05:50:00Z</cp:lastPrinted>
  <dcterms:created xsi:type="dcterms:W3CDTF">2016-11-15T07:21:00Z</dcterms:created>
  <dcterms:modified xsi:type="dcterms:W3CDTF">2016-11-20T22:54:00Z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