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Y="280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765"/>
        <w:gridCol w:w="825"/>
        <w:gridCol w:w="420"/>
        <w:gridCol w:w="810"/>
        <w:gridCol w:w="780"/>
        <w:gridCol w:w="653"/>
        <w:gridCol w:w="1147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66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组长</w:t>
            </w:r>
          </w:p>
        </w:tc>
        <w:tc>
          <w:tcPr>
            <w:tcW w:w="76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45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33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14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  <w:t>成</w:t>
            </w:r>
          </w:p>
          <w:p>
            <w:pPr>
              <w:jc w:val="center"/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  <w:t>员</w:t>
            </w:r>
          </w:p>
          <w:p>
            <w:pPr>
              <w:jc w:val="center"/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  <w:t>名</w:t>
            </w:r>
          </w:p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30"/>
                <w:szCs w:val="30"/>
              </w:rPr>
            </w:pPr>
            <w:r>
              <w:rPr>
                <w:rFonts w:hint="eastAsia" w:cs="Arial Unicode MS" w:asciiTheme="majorEastAsia" w:hAnsiTheme="majorEastAsia" w:eastAsiaTheme="majorEastAsia"/>
                <w:b/>
                <w:sz w:val="24"/>
                <w:szCs w:val="24"/>
              </w:rPr>
              <w:t>单</w:t>
            </w:r>
          </w:p>
        </w:tc>
        <w:tc>
          <w:tcPr>
            <w:tcW w:w="1590" w:type="dxa"/>
            <w:gridSpan w:val="2"/>
            <w:vAlign w:val="center"/>
          </w:tcPr>
          <w:p>
            <w:pPr>
              <w:ind w:firstLine="316" w:firstLineChars="1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   名</w:t>
            </w:r>
          </w:p>
        </w:tc>
        <w:tc>
          <w:tcPr>
            <w:tcW w:w="2010" w:type="dxa"/>
            <w:gridSpan w:val="3"/>
            <w:vAlign w:val="center"/>
          </w:tcPr>
          <w:p>
            <w:pPr>
              <w:ind w:firstLine="527" w:firstLineChars="2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   号</w:t>
            </w:r>
          </w:p>
        </w:tc>
        <w:tc>
          <w:tcPr>
            <w:tcW w:w="1800" w:type="dxa"/>
            <w:gridSpan w:val="2"/>
            <w:vAlign w:val="center"/>
          </w:tcPr>
          <w:p>
            <w:pPr>
              <w:ind w:firstLine="422" w:firstLineChars="2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   名</w:t>
            </w:r>
          </w:p>
        </w:tc>
        <w:tc>
          <w:tcPr>
            <w:tcW w:w="2250" w:type="dxa"/>
            <w:vAlign w:val="center"/>
          </w:tcPr>
          <w:p>
            <w:pPr>
              <w:ind w:firstLine="527" w:firstLineChars="2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  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159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2010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</w:p>
        </w:tc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159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2010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22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159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2010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22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66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课题名称</w:t>
            </w:r>
          </w:p>
        </w:tc>
        <w:tc>
          <w:tcPr>
            <w:tcW w:w="7650" w:type="dxa"/>
            <w:gridSpan w:val="8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2B2B2B"/>
                <w:spacing w:val="0"/>
                <w:sz w:val="21"/>
                <w:szCs w:val="21"/>
                <w:shd w:val="clear" w:fill="FFFFFF"/>
              </w:rPr>
              <w:t>产品评论细粒度情感分析系统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5" w:hRule="atLeast"/>
        </w:trPr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课</w:t>
            </w:r>
          </w:p>
          <w:p>
            <w:pPr>
              <w:jc w:val="center"/>
              <w:rPr>
                <w:rFonts w:hint="eastAsia"/>
                <w:b/>
                <w:sz w:val="30"/>
                <w:szCs w:val="30"/>
              </w:rPr>
            </w:pPr>
          </w:p>
          <w:p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题</w:t>
            </w:r>
          </w:p>
          <w:p>
            <w:pPr>
              <w:jc w:val="center"/>
              <w:rPr>
                <w:rFonts w:hint="eastAsia"/>
                <w:b/>
                <w:sz w:val="30"/>
                <w:szCs w:val="30"/>
              </w:rPr>
            </w:pPr>
          </w:p>
          <w:p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简</w:t>
            </w:r>
          </w:p>
          <w:p>
            <w:pPr>
              <w:jc w:val="center"/>
              <w:rPr>
                <w:rFonts w:hint="eastAsia"/>
                <w:b/>
                <w:sz w:val="30"/>
                <w:szCs w:val="30"/>
              </w:rPr>
            </w:pPr>
          </w:p>
          <w:p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介</w:t>
            </w:r>
          </w:p>
        </w:tc>
        <w:tc>
          <w:tcPr>
            <w:tcW w:w="7650" w:type="dxa"/>
            <w:gridSpan w:val="8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情感分析旨在对带有情感色彩的主观性文本进行分析、处理、归纳和推理，其广泛应用于消费决策、舆情分析、个性化推荐等领域，具有很高的商业价值。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依托情感分析技术，食行生鲜自动生成菜品评论标签辅助用户购买，并指导运营采购部门调整选品和促销策略；房天下向购房者和开发商直观展示楼盘的用户口碑情况，并对好评楼盘置顶推荐。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情感分析相关的任务有语句级情感分析（TC）、评论对象抽取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（ATE）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、观点抽取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（OTE）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等等。一般来讲，被人们所熟知的情感分析任务是语句级别的情感分析，该任务是在宏观上去分析整句话的感情色彩，其为粗粒度情感分析任务。而实际情况中人们进行评论的时候，往往针对某一产品或服务进行多个属性的评论，对每个属性的评论可能也会褒贬不一，因此针对属性级别的细粒度情感分析在真实的场景中会更加实用，同时更能给到企业用户或商家更加具体的建议。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例如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这句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关于薯片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产品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的评论。“这个薯片味道真的太好了，口感很脆，只是包装很一般。”可以看到，顾客在口感、包装和味道三个属性上对薯片进行了评价，顾客在味道和口感两个方面给出了好评，但是在包装上给出了负面的评价。只有通过这种比较细粒度的分析，商家才能更有针对性的发现问题，进而改进自己的产品或服务。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基于这样的考虑，本项目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依托自然语言处理（NLP）相关技术，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提出了一种细粒度的情感分析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系统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，对于给定的文本，首先会抽取该文本中的评论观点，然后分析不同观点的情感极性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，最后将结果进行可视化处理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。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软件工程</w:t>
      </w:r>
      <w:r>
        <w:rPr>
          <w:rFonts w:hint="eastAsia"/>
          <w:b/>
          <w:sz w:val="44"/>
          <w:szCs w:val="44"/>
          <w:lang w:val="en-US" w:eastAsia="zh-CN"/>
        </w:rPr>
        <w:t>实践考核</w:t>
      </w:r>
      <w:r>
        <w:rPr>
          <w:rFonts w:hint="eastAsia"/>
          <w:b/>
          <w:sz w:val="44"/>
          <w:szCs w:val="44"/>
        </w:rPr>
        <w:t>小组信息表</w:t>
      </w:r>
    </w:p>
    <w:p>
      <w:pPr>
        <w:rPr>
          <w:rFonts w:hint="eastAsia"/>
          <w:b/>
          <w:sz w:val="44"/>
          <w:szCs w:val="44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44"/>
          <w:szCs w:val="44"/>
        </w:rPr>
        <w:t xml:space="preserve">                              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22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/>
          <w:b/>
          <w:sz w:val="28"/>
          <w:szCs w:val="28"/>
        </w:rPr>
        <w:t>月</w:t>
      </w:r>
    </w:p>
    <w:p>
      <w:pPr>
        <w:rPr>
          <w:b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DF711C"/>
    <w:rsid w:val="00040EFF"/>
    <w:rsid w:val="005D6DDA"/>
    <w:rsid w:val="00892C40"/>
    <w:rsid w:val="00AE4E52"/>
    <w:rsid w:val="00DF711C"/>
    <w:rsid w:val="11C47D41"/>
    <w:rsid w:val="15373433"/>
    <w:rsid w:val="1D342403"/>
    <w:rsid w:val="218629C7"/>
    <w:rsid w:val="21CA2BF4"/>
    <w:rsid w:val="33D463AE"/>
    <w:rsid w:val="45025018"/>
    <w:rsid w:val="4F7F1EAF"/>
    <w:rsid w:val="4FF41317"/>
    <w:rsid w:val="4FFE6835"/>
    <w:rsid w:val="57BD667D"/>
    <w:rsid w:val="5D950A0F"/>
    <w:rsid w:val="5E2804CA"/>
    <w:rsid w:val="5F6F6BEE"/>
    <w:rsid w:val="61997590"/>
    <w:rsid w:val="634C5CEC"/>
    <w:rsid w:val="6ACA3A8C"/>
    <w:rsid w:val="6B3C600C"/>
    <w:rsid w:val="6CED41BB"/>
    <w:rsid w:val="71D21EFE"/>
    <w:rsid w:val="77E5555E"/>
    <w:rsid w:val="7FE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135</Characters>
  <Lines>1</Lines>
  <Paragraphs>1</Paragraphs>
  <TotalTime>9</TotalTime>
  <ScaleCrop>false</ScaleCrop>
  <LinksUpToDate>false</LinksUpToDate>
  <CharactersWithSpaces>157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2014-03-15T10:17:00Z</dcterms:created>
  <dc:creator>Acer</dc:creator>
  <cp:lastModifiedBy>四喜</cp:lastModifiedBy>
  <dcterms:modified xsi:type="dcterms:W3CDTF">2022-03-19T15:15:16Z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E30A1A2EED4F463FB8613FB17E3252ED</vt:lpwstr>
  </property>
</Properties>
</file>