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09D" w:rsidRDefault="00871E0D">
      <w:pPr>
        <w:pStyle w:val="Title"/>
      </w:pPr>
      <w:bookmarkStart w:id="0" w:name="_GoBack"/>
      <w:bookmarkEnd w:id="0"/>
      <w:r>
        <w:t>Reproducible data analysis: thesis data analysis and visualization</w:t>
      </w:r>
    </w:p>
    <w:p w:rsidR="00BC709D" w:rsidRDefault="00871E0D">
      <w:pPr>
        <w:pStyle w:val="Subtitle"/>
      </w:pPr>
      <w:r>
        <w:t>Pacific Maritime forWater Masters Project (NSERC forWater)</w:t>
      </w:r>
    </w:p>
    <w:p w:rsidR="00BC709D" w:rsidRDefault="00871E0D">
      <w:r>
        <w:t>Hannah J McSorley</w:t>
      </w:r>
    </w:p>
    <w:p w:rsidR="00BC709D" w:rsidRDefault="00871E0D">
      <w:r>
        <w:t>2020-01-31</w:t>
      </w:r>
    </w:p>
    <w:p w:rsidR="00BC709D" w:rsidRDefault="00871E0D">
      <w:pPr>
        <w:pStyle w:val="Heading1"/>
      </w:pPr>
      <w:bookmarkStart w:id="1" w:name="sample-analyses"/>
      <w:r>
        <w:lastRenderedPageBreak/>
        <w:t>Sample Analyses</w:t>
      </w:r>
      <w:bookmarkEnd w:id="1"/>
    </w:p>
    <w:p w:rsidR="00BC709D" w:rsidRDefault="00871E0D">
      <w:r>
        <w:t xml:space="preserve">Water samples were collected and transported via coolers (on ice) to UBC’s EcoHydrology Lab for analysis of dissolved organic carbon (DOC) concentrations and indicators of NOM character. Samples were also measured for phosphate concentration using a field </w:t>
      </w:r>
      <w:r>
        <w:t>portable colourmetric test kit (HACH); each sample had phosphate concentrations below detectable limits (XXXXXX mg/L).</w:t>
      </w:r>
    </w:p>
    <w:p w:rsidR="00BC709D" w:rsidRDefault="00871E0D">
      <w:pPr>
        <w:pStyle w:val="Heading2"/>
      </w:pPr>
      <w:bookmarkStart w:id="2" w:name="quantifying-dissolved-organic-carbon-doc"/>
      <w:r>
        <w:t>Quantifying dissolved organic carbon (DOC)</w:t>
      </w:r>
      <w:bookmarkEnd w:id="2"/>
    </w:p>
    <w:p w:rsidR="00BC709D" w:rsidRDefault="00871E0D">
      <w:r>
        <w:t>For quantification of DOC, samples were analyzed for non-purgeable organic carbon (NPOC) via H</w:t>
      </w:r>
      <w:r>
        <w:t>igh-Temperature Combustion Method (5310-B) on a Shimadzu TOC-V (Eaton, A. D., Clesceri, L. S., Greenberg, A. E., Franson 2000). For this method, samples were filtered with 0.45-micron PES filters, acidified to bring pH below 2, then sparged with hydrocarbo</w:t>
      </w:r>
      <w:r>
        <w:t>n-free air to drive off inorganic carbon. Following sparging, samples were combusted to convert all organic carbon to carbon dioxide which was measured with a non-dispersive infrared gas detector to quantify the DOC content of the sample. This method repre</w:t>
      </w:r>
      <w:r>
        <w:t>sents a direct method of measuring DOC, as all natural organic carbon in the sample is measured. Although small volatile organic compounds would be removed in the sparging process, most NOM compounds are of higher molecular weight and it is unlikely that N</w:t>
      </w:r>
      <w:r>
        <w:t>OM DOC analytes would be lost (Eaton, A. D., Clesceri, L. S., Greenberg, A. E., Franson 2000; Matilainen et al. 2011).</w:t>
      </w:r>
    </w:p>
    <w:p w:rsidR="00BC709D" w:rsidRDefault="00871E0D">
      <w:pPr>
        <w:pStyle w:val="Heading2"/>
      </w:pPr>
      <w:bookmarkStart w:id="3" w:name="X259be48cd817c7cc9c2cd4c6697189d8d3d9039"/>
      <w:r>
        <w:t>Qualifying dissolved organic matter (proxy measures of DOC)</w:t>
      </w:r>
      <w:bookmarkEnd w:id="3"/>
    </w:p>
    <w:p w:rsidR="00BC709D" w:rsidRDefault="00871E0D">
      <w:r>
        <w:t>Spectral properties of sample NOM were analyzed using a “Spectro::lyser” spec</w:t>
      </w:r>
      <w:r>
        <w:t>trophotometer (S::can, Vienna, Austria) which measures turbidity and the chromophoric portion of organic matter to estimate concentrations of total organic carbon (TOC), dissolved organic carbon (DOC), as well as nitrate-nitrogen (NO</w:t>
      </w:r>
      <w:r>
        <w:rPr>
          <w:vertAlign w:val="subscript"/>
        </w:rPr>
        <w:t>3</w:t>
      </w:r>
      <w:r>
        <w:rPr>
          <w:vertAlign w:val="superscript"/>
        </w:rPr>
        <w:t>-</w:t>
      </w:r>
      <w:r>
        <w:t>-N). A caveat to inte</w:t>
      </w:r>
      <w:r>
        <w:t>rpreting the Spectrolyser results is that, for NOM to be detected by UV-Vis absorption the molecules must absorb UV or Visible light (not all molecules do). UV-Vis absorption occurs only if the applied energy (light) can be absorbed by the molecule; in gen</w:t>
      </w:r>
      <w:r>
        <w:t>eral, this required the presence of aromatic bonds (i.e. conjugated pi-bond systems in the molecule, a.k.a chromophore). Therefore, UV-Vis absorption is proportional to the molecule’s degree of aromaticity and is a measure of chromophoric DOM (CDOM).</w:t>
      </w:r>
    </w:p>
    <w:p w:rsidR="00BC709D" w:rsidRDefault="00871E0D">
      <w:r>
        <w:lastRenderedPageBreak/>
        <w:t>The S</w:t>
      </w:r>
      <w:r>
        <w:t>pectrolyser outputs a fingerprint file containing absorbance values at all of the wavelengths monitored. These absorbance values can provide information about the character of NOM. For example, the ratio of the slope between 275-295nm and the slope from 35</w:t>
      </w:r>
      <w:r>
        <w:t>0-400nm (“slope ratio (SR)”), is commonly used as an indicator of molecular weight. Based on full scan data from the Spectrolyser (250-700nm), several indices of NOM character were determined {</w:t>
      </w:r>
      <w:r>
        <w:rPr>
          <w:i/>
        </w:rPr>
        <w:t>in progress</w:t>
      </w:r>
      <w:r>
        <w:t>}:</w:t>
      </w:r>
    </w:p>
    <w:p w:rsidR="00BC709D" w:rsidRDefault="00871E0D">
      <w:pPr>
        <w:numPr>
          <w:ilvl w:val="0"/>
          <w:numId w:val="13"/>
        </w:numPr>
      </w:pPr>
      <w:r>
        <w:t>SUVA</w:t>
      </w:r>
      <w:r>
        <w:rPr>
          <w:vertAlign w:val="subscript"/>
        </w:rPr>
        <w:t>254</w:t>
      </w:r>
      <w:r>
        <w:t xml:space="preserve"> — Specific UV absorbance at 254nm is the </w:t>
      </w:r>
      <w:r>
        <w:t>ratio of UV absorption (spectral absorbance coefficient, SAC, m</w:t>
      </w:r>
      <w:r>
        <w:rPr>
          <w:vertAlign w:val="superscript"/>
        </w:rPr>
        <w:t>-1</w:t>
      </w:r>
      <w:r>
        <w:t>) at 254nm, normalized to DOC concentration (mgL</w:t>
      </w:r>
      <w:r>
        <w:rPr>
          <w:vertAlign w:val="superscript"/>
        </w:rPr>
        <w:t>-1</w:t>
      </w:r>
      <w:r>
        <w:t>). SUVA</w:t>
      </w:r>
      <w:r>
        <w:rPr>
          <w:vertAlign w:val="subscript"/>
        </w:rPr>
        <w:t>254</w:t>
      </w:r>
      <w:r>
        <w:t xml:space="preserve"> correlates strongly with DOM aromaticity (Helms et al. 2008).</w:t>
      </w:r>
    </w:p>
    <w:p w:rsidR="00BC709D" w:rsidRDefault="00871E0D">
      <w:pPr>
        <w:numPr>
          <w:ilvl w:val="0"/>
          <w:numId w:val="13"/>
        </w:numPr>
      </w:pPr>
      <w:r>
        <w:t>Spectral slopes — it has been shown that UV spectral slopes are usef</w:t>
      </w:r>
      <w:r>
        <w:t>ul semi quantitative indicators for assessing NOM molecular weights (Helms et al. 2008):</w:t>
      </w:r>
    </w:p>
    <w:p w:rsidR="00BC709D" w:rsidRDefault="00871E0D">
      <w:pPr>
        <w:numPr>
          <w:ilvl w:val="0"/>
          <w:numId w:val="12"/>
        </w:numPr>
      </w:pPr>
      <w:r>
        <w:rPr>
          <w:i/>
        </w:rPr>
        <w:t xml:space="preserve">Spectral slopes 1 &amp; 2 — the slope of spectral intensity over the shorter wavelength range of 275-295nm (1) and longer wavelength range of 350-400nm (2). </w:t>
      </w:r>
      <w:r>
        <w:t xml:space="preserve">Slope Ratio — </w:t>
      </w:r>
      <w:r>
        <w:t>The ratio of spectral slopes 1 and 2, correlates well with CDOM molecular weight (Helms et al. 2008)</w:t>
      </w:r>
    </w:p>
    <w:p w:rsidR="00BC709D" w:rsidRDefault="00871E0D">
      <w:pPr>
        <w:pStyle w:val="Heading1"/>
      </w:pPr>
      <w:bookmarkStart w:id="4" w:name="data-visualization-summaries"/>
      <w:r>
        <w:lastRenderedPageBreak/>
        <w:t>Data Visualization &amp; Summaries</w:t>
      </w:r>
      <w:bookmarkEnd w:id="4"/>
    </w:p>
    <w:p w:rsidR="00BC709D" w:rsidRDefault="00871E0D">
      <w:pPr>
        <w:pStyle w:val="Heading2"/>
      </w:pPr>
      <w:bookmarkStart w:id="5" w:name="leech-doc-concentrations-overview"/>
      <w:r>
        <w:t>Leech DOC concentrations overview</w:t>
      </w:r>
      <w:bookmarkEnd w:id="5"/>
    </w:p>
    <w:p w:rsidR="00BC709D" w:rsidRDefault="00871E0D">
      <w:r>
        <w:t>Table 1 and Figure 1 show DOC concentrations were highest at Weeks Creek, the headwaters m</w:t>
      </w:r>
      <w:r>
        <w:t>onitoring point for a sub-basin which included Weeks Lake and surrounding wetlands. On average, Chris Creek DOC concentration was 51% lower than Weeks creek. Below the confluence of Weeks and Chris Creek, the head of Leech River had a mean DOC concentratio</w:t>
      </w:r>
      <w:r>
        <w:t>n slightly less than the average of the two headwater tributaries. West Leech River had higher DOC than Cragg Creek by about 20%. Below the confluences of West Leech and Cragg Creek, the Leech Tunnel site had DOC concentrations that were 54% lower than the</w:t>
      </w:r>
      <w:r>
        <w:t xml:space="preserve"> average at the Leech head, and closer to those of Cragg Creek.</w:t>
      </w:r>
    </w:p>
    <w:p w:rsidR="00BC709D" w:rsidRDefault="00871E0D">
      <w:r>
        <w:rPr>
          <w:noProof/>
        </w:rPr>
        <w:drawing>
          <wp:inline distT="0" distB="0" distL="0" distR="0">
            <wp:extent cx="5943600" cy="424542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DOC-space%20plot%20all-1.png"/>
                    <pic:cNvPicPr>
                      <a:picLocks noChangeAspect="1" noChangeArrowheads="1"/>
                    </pic:cNvPicPr>
                  </pic:nvPicPr>
                  <pic:blipFill>
                    <a:blip r:embed="rId7"/>
                    <a:stretch>
                      <a:fillRect/>
                    </a:stretch>
                  </pic:blipFill>
                  <pic:spPr bwMode="auto">
                    <a:xfrm>
                      <a:off x="0" y="0"/>
                      <a:ext cx="5943600" cy="4245428"/>
                    </a:xfrm>
                    <a:prstGeom prst="rect">
                      <a:avLst/>
                    </a:prstGeom>
                    <a:noFill/>
                    <a:ln w="9525">
                      <a:noFill/>
                      <a:headEnd/>
                      <a:tailEnd/>
                    </a:ln>
                  </pic:spPr>
                </pic:pic>
              </a:graphicData>
            </a:graphic>
          </wp:inline>
        </w:drawing>
      </w:r>
    </w:p>
    <w:p w:rsidR="00BC709D" w:rsidRDefault="00871E0D">
      <w:r>
        <w:t>Table 1: summary of DOC concentrations at the six main sites</w:t>
      </w:r>
    </w:p>
    <w:tbl>
      <w:tblPr>
        <w:tblW w:w="0" w:type="pct"/>
        <w:tblLook w:val="07E0" w:firstRow="1" w:lastRow="1" w:firstColumn="1" w:lastColumn="1" w:noHBand="1" w:noVBand="1"/>
        <w:tblCaption w:val="Table 1: summary of DOC concentrations at the six main sites"/>
      </w:tblPr>
      <w:tblGrid>
        <w:gridCol w:w="1456"/>
        <w:gridCol w:w="2135"/>
        <w:gridCol w:w="2022"/>
        <w:gridCol w:w="1063"/>
      </w:tblGrid>
      <w:tr w:rsidR="00BC709D">
        <w:tc>
          <w:tcPr>
            <w:tcW w:w="0" w:type="auto"/>
            <w:tcBorders>
              <w:bottom w:val="single" w:sz="0" w:space="0" w:color="auto"/>
            </w:tcBorders>
            <w:vAlign w:val="bottom"/>
          </w:tcPr>
          <w:p w:rsidR="00BC709D" w:rsidRDefault="00871E0D">
            <w:r>
              <w:lastRenderedPageBreak/>
              <w:t>site</w:t>
            </w:r>
          </w:p>
        </w:tc>
        <w:tc>
          <w:tcPr>
            <w:tcW w:w="0" w:type="auto"/>
            <w:tcBorders>
              <w:bottom w:val="single" w:sz="0" w:space="0" w:color="auto"/>
            </w:tcBorders>
            <w:vAlign w:val="bottom"/>
          </w:tcPr>
          <w:p w:rsidR="00BC709D" w:rsidRDefault="00871E0D">
            <w:pPr>
              <w:jc w:val="right"/>
            </w:pPr>
            <w:r>
              <w:t>mean DOC (mg/L)</w:t>
            </w:r>
          </w:p>
        </w:tc>
        <w:tc>
          <w:tcPr>
            <w:tcW w:w="0" w:type="auto"/>
            <w:tcBorders>
              <w:bottom w:val="single" w:sz="0" w:space="0" w:color="auto"/>
            </w:tcBorders>
            <w:vAlign w:val="bottom"/>
          </w:tcPr>
          <w:p w:rsidR="00BC709D" w:rsidRDefault="00871E0D">
            <w:pPr>
              <w:jc w:val="right"/>
            </w:pPr>
            <w:r>
              <w:t>std.dev. (± mg/L)</w:t>
            </w:r>
          </w:p>
        </w:tc>
        <w:tc>
          <w:tcPr>
            <w:tcW w:w="0" w:type="auto"/>
            <w:tcBorders>
              <w:bottom w:val="single" w:sz="0" w:space="0" w:color="auto"/>
            </w:tcBorders>
            <w:vAlign w:val="bottom"/>
          </w:tcPr>
          <w:p w:rsidR="00BC709D" w:rsidRDefault="00871E0D">
            <w:pPr>
              <w:jc w:val="right"/>
            </w:pPr>
            <w:r>
              <w:t>RSD (%)</w:t>
            </w:r>
          </w:p>
        </w:tc>
      </w:tr>
      <w:tr w:rsidR="00BC709D">
        <w:tc>
          <w:tcPr>
            <w:tcW w:w="0" w:type="auto"/>
          </w:tcPr>
          <w:p w:rsidR="00BC709D" w:rsidRDefault="00871E0D">
            <w:r>
              <w:t>Weeks-out</w:t>
            </w:r>
          </w:p>
        </w:tc>
        <w:tc>
          <w:tcPr>
            <w:tcW w:w="0" w:type="auto"/>
          </w:tcPr>
          <w:p w:rsidR="00BC709D" w:rsidRDefault="00871E0D">
            <w:pPr>
              <w:jc w:val="right"/>
            </w:pPr>
            <w:r>
              <w:t>10.4</w:t>
            </w:r>
          </w:p>
        </w:tc>
        <w:tc>
          <w:tcPr>
            <w:tcW w:w="0" w:type="auto"/>
          </w:tcPr>
          <w:p w:rsidR="00BC709D" w:rsidRDefault="00871E0D">
            <w:pPr>
              <w:jc w:val="right"/>
            </w:pPr>
            <w:r>
              <w:t>3.6</w:t>
            </w:r>
          </w:p>
        </w:tc>
        <w:tc>
          <w:tcPr>
            <w:tcW w:w="0" w:type="auto"/>
          </w:tcPr>
          <w:p w:rsidR="00BC709D" w:rsidRDefault="00871E0D">
            <w:pPr>
              <w:jc w:val="right"/>
            </w:pPr>
            <w:r>
              <w:t>34.4</w:t>
            </w:r>
          </w:p>
        </w:tc>
      </w:tr>
      <w:tr w:rsidR="00BC709D">
        <w:tc>
          <w:tcPr>
            <w:tcW w:w="0" w:type="auto"/>
          </w:tcPr>
          <w:p w:rsidR="00BC709D" w:rsidRDefault="00871E0D">
            <w:r>
              <w:t>Chris-crk</w:t>
            </w:r>
          </w:p>
        </w:tc>
        <w:tc>
          <w:tcPr>
            <w:tcW w:w="0" w:type="auto"/>
          </w:tcPr>
          <w:p w:rsidR="00BC709D" w:rsidRDefault="00871E0D">
            <w:pPr>
              <w:jc w:val="right"/>
            </w:pPr>
            <w:r>
              <w:t>5.1</w:t>
            </w:r>
          </w:p>
        </w:tc>
        <w:tc>
          <w:tcPr>
            <w:tcW w:w="0" w:type="auto"/>
          </w:tcPr>
          <w:p w:rsidR="00BC709D" w:rsidRDefault="00871E0D">
            <w:pPr>
              <w:jc w:val="right"/>
            </w:pPr>
            <w:r>
              <w:t>2.1</w:t>
            </w:r>
          </w:p>
        </w:tc>
        <w:tc>
          <w:tcPr>
            <w:tcW w:w="0" w:type="auto"/>
          </w:tcPr>
          <w:p w:rsidR="00BC709D" w:rsidRDefault="00871E0D">
            <w:pPr>
              <w:jc w:val="right"/>
            </w:pPr>
            <w:r>
              <w:t>40.9</w:t>
            </w:r>
          </w:p>
        </w:tc>
      </w:tr>
      <w:tr w:rsidR="00BC709D">
        <w:tc>
          <w:tcPr>
            <w:tcW w:w="0" w:type="auto"/>
          </w:tcPr>
          <w:p w:rsidR="00BC709D" w:rsidRDefault="00871E0D">
            <w:r>
              <w:t>Leech-head</w:t>
            </w:r>
          </w:p>
        </w:tc>
        <w:tc>
          <w:tcPr>
            <w:tcW w:w="0" w:type="auto"/>
          </w:tcPr>
          <w:p w:rsidR="00BC709D" w:rsidRDefault="00871E0D">
            <w:pPr>
              <w:jc w:val="right"/>
            </w:pPr>
            <w:r>
              <w:t>7.3</w:t>
            </w:r>
          </w:p>
        </w:tc>
        <w:tc>
          <w:tcPr>
            <w:tcW w:w="0" w:type="auto"/>
          </w:tcPr>
          <w:p w:rsidR="00BC709D" w:rsidRDefault="00871E0D">
            <w:pPr>
              <w:jc w:val="right"/>
            </w:pPr>
            <w:r>
              <w:t>1.6</w:t>
            </w:r>
          </w:p>
        </w:tc>
        <w:tc>
          <w:tcPr>
            <w:tcW w:w="0" w:type="auto"/>
          </w:tcPr>
          <w:p w:rsidR="00BC709D" w:rsidRDefault="00871E0D">
            <w:pPr>
              <w:jc w:val="right"/>
            </w:pPr>
            <w:r>
              <w:t>22.1</w:t>
            </w:r>
          </w:p>
        </w:tc>
      </w:tr>
      <w:tr w:rsidR="00BC709D">
        <w:tc>
          <w:tcPr>
            <w:tcW w:w="0" w:type="auto"/>
          </w:tcPr>
          <w:p w:rsidR="00BC709D" w:rsidRDefault="00871E0D">
            <w:r>
              <w:t>Cragg-crk</w:t>
            </w:r>
          </w:p>
        </w:tc>
        <w:tc>
          <w:tcPr>
            <w:tcW w:w="0" w:type="auto"/>
          </w:tcPr>
          <w:p w:rsidR="00BC709D" w:rsidRDefault="00871E0D">
            <w:pPr>
              <w:jc w:val="right"/>
            </w:pPr>
            <w:r>
              <w:t>4.7</w:t>
            </w:r>
          </w:p>
        </w:tc>
        <w:tc>
          <w:tcPr>
            <w:tcW w:w="0" w:type="auto"/>
          </w:tcPr>
          <w:p w:rsidR="00BC709D" w:rsidRDefault="00871E0D">
            <w:pPr>
              <w:jc w:val="right"/>
            </w:pPr>
            <w:r>
              <w:t>1.5</w:t>
            </w:r>
          </w:p>
        </w:tc>
        <w:tc>
          <w:tcPr>
            <w:tcW w:w="0" w:type="auto"/>
          </w:tcPr>
          <w:p w:rsidR="00BC709D" w:rsidRDefault="00871E0D">
            <w:pPr>
              <w:jc w:val="right"/>
            </w:pPr>
            <w:r>
              <w:t>32.4</w:t>
            </w:r>
          </w:p>
        </w:tc>
      </w:tr>
      <w:tr w:rsidR="00BC709D">
        <w:tc>
          <w:tcPr>
            <w:tcW w:w="0" w:type="auto"/>
          </w:tcPr>
          <w:p w:rsidR="00BC709D" w:rsidRDefault="00871E0D">
            <w:r>
              <w:t>West-Leech</w:t>
            </w:r>
          </w:p>
        </w:tc>
        <w:tc>
          <w:tcPr>
            <w:tcW w:w="0" w:type="auto"/>
          </w:tcPr>
          <w:p w:rsidR="00BC709D" w:rsidRDefault="00871E0D">
            <w:pPr>
              <w:jc w:val="right"/>
            </w:pPr>
            <w:r>
              <w:t>5.9</w:t>
            </w:r>
          </w:p>
        </w:tc>
        <w:tc>
          <w:tcPr>
            <w:tcW w:w="0" w:type="auto"/>
          </w:tcPr>
          <w:p w:rsidR="00BC709D" w:rsidRDefault="00871E0D">
            <w:pPr>
              <w:jc w:val="right"/>
            </w:pPr>
            <w:r>
              <w:t>2.3</w:t>
            </w:r>
          </w:p>
        </w:tc>
        <w:tc>
          <w:tcPr>
            <w:tcW w:w="0" w:type="auto"/>
          </w:tcPr>
          <w:p w:rsidR="00BC709D" w:rsidRDefault="00871E0D">
            <w:pPr>
              <w:jc w:val="right"/>
            </w:pPr>
            <w:r>
              <w:t>39.2</w:t>
            </w:r>
          </w:p>
        </w:tc>
      </w:tr>
      <w:tr w:rsidR="00BC709D">
        <w:tc>
          <w:tcPr>
            <w:tcW w:w="0" w:type="auto"/>
          </w:tcPr>
          <w:p w:rsidR="00BC709D" w:rsidRDefault="00871E0D">
            <w:r>
              <w:t>Tunnel</w:t>
            </w:r>
          </w:p>
        </w:tc>
        <w:tc>
          <w:tcPr>
            <w:tcW w:w="0" w:type="auto"/>
          </w:tcPr>
          <w:p w:rsidR="00BC709D" w:rsidRDefault="00871E0D">
            <w:pPr>
              <w:jc w:val="right"/>
            </w:pPr>
            <w:r>
              <w:t>4.8</w:t>
            </w:r>
          </w:p>
        </w:tc>
        <w:tc>
          <w:tcPr>
            <w:tcW w:w="0" w:type="auto"/>
          </w:tcPr>
          <w:p w:rsidR="00BC709D" w:rsidRDefault="00871E0D">
            <w:pPr>
              <w:jc w:val="right"/>
            </w:pPr>
            <w:r>
              <w:t>1.8</w:t>
            </w:r>
          </w:p>
        </w:tc>
        <w:tc>
          <w:tcPr>
            <w:tcW w:w="0" w:type="auto"/>
          </w:tcPr>
          <w:p w:rsidR="00BC709D" w:rsidRDefault="00871E0D">
            <w:pPr>
              <w:jc w:val="right"/>
            </w:pPr>
            <w:r>
              <w:t>37.7</w:t>
            </w:r>
          </w:p>
        </w:tc>
      </w:tr>
    </w:tbl>
    <w:p w:rsidR="00BC709D" w:rsidRDefault="00871E0D">
      <w:r>
        <w:t>At the six sub-basin monitoring sites, vertical racks were installed to collect samples as the rivers rose in response to precipitation events.</w:t>
      </w:r>
    </w:p>
    <w:p w:rsidR="00BC709D" w:rsidRDefault="00871E0D">
      <w:r>
        <w:t>These vertical racks collected samples on the rising hydrograph limb, which has been shown to have higher DOC co</w:t>
      </w:r>
      <w:r>
        <w:t>ncentration that non-storm flow (Yang et al. 2015; Raymond et al. 2016, 2010). As the vertical racks require a hydrologic response to collect samples, they are only applicable during the wet season. Comparing wet season Grab samples to those collected on R</w:t>
      </w:r>
      <w:r>
        <w:t>acks confirms that the rack samplers were able to capture more samples, and many during periods with higher DOC concentrations (Fig.2).</w:t>
      </w:r>
    </w:p>
    <w:p w:rsidR="00BC709D" w:rsidRDefault="00871E0D">
      <w:r>
        <w:rPr>
          <w:noProof/>
        </w:rPr>
        <w:lastRenderedPageBreak/>
        <w:drawing>
          <wp:inline distT="0" distB="0" distL="0" distR="0">
            <wp:extent cx="5943600" cy="4457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DOC%20space-time%20boxplot-1.png"/>
                    <pic:cNvPicPr>
                      <a:picLocks noChangeAspect="1" noChangeArrowheads="1"/>
                    </pic:cNvPicPr>
                  </pic:nvPicPr>
                  <pic:blipFill>
                    <a:blip r:embed="rId8"/>
                    <a:stretch>
                      <a:fillRect/>
                    </a:stretch>
                  </pic:blipFill>
                  <pic:spPr bwMode="auto">
                    <a:xfrm>
                      <a:off x="0" y="0"/>
                      <a:ext cx="5943600" cy="4457700"/>
                    </a:xfrm>
                    <a:prstGeom prst="rect">
                      <a:avLst/>
                    </a:prstGeom>
                    <a:noFill/>
                    <a:ln w="9525">
                      <a:noFill/>
                      <a:headEnd/>
                      <a:tailEnd/>
                    </a:ln>
                  </pic:spPr>
                </pic:pic>
              </a:graphicData>
            </a:graphic>
          </wp:inline>
        </w:drawing>
      </w:r>
    </w:p>
    <w:p w:rsidR="00BC709D" w:rsidRDefault="00871E0D">
      <w:pPr>
        <w:pStyle w:val="Heading2"/>
      </w:pPr>
      <w:bookmarkStart w:id="6" w:name="sampling-campaign"/>
      <w:r>
        <w:t>Sampling campaign</w:t>
      </w:r>
      <w:bookmarkEnd w:id="6"/>
    </w:p>
    <w:p w:rsidR="00BC709D" w:rsidRDefault="00871E0D">
      <w:r>
        <w:t xml:space="preserve">Four hundred water sample were collected and analyzed for DOC over a 16 month study period (October </w:t>
      </w:r>
      <w:r>
        <w:t>2018 to February 2020). The synoptic grab-sampling program was enhanced by the collection of stormflow on the six vertical sampling racks. In total, 171 samples were collected on vertical Racks, 215 Grab samples were collected at 15 synoptically sampled si</w:t>
      </w:r>
      <w:r>
        <w:t>tes (which included the six installation sites), and an additional 14 Grab samples were collected opportunistically at one-off sites across the water supply area. Figure 3 shows DOC concentrations across the 15 synoptically sampled sites over the study per</w:t>
      </w:r>
      <w:r>
        <w:t>iod (n=386).</w:t>
      </w:r>
    </w:p>
    <w:p w:rsidR="00BC709D" w:rsidRDefault="00871E0D">
      <w:r>
        <w:rPr>
          <w:noProof/>
        </w:rPr>
        <w:lastRenderedPageBreak/>
        <w:drawing>
          <wp:inline distT="0" distB="0" distL="0" distR="0">
            <wp:extent cx="5943600" cy="4457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DOC%20scatter%20plots%20by%20sample_type-1.png"/>
                    <pic:cNvPicPr>
                      <a:picLocks noChangeAspect="1" noChangeArrowheads="1"/>
                    </pic:cNvPicPr>
                  </pic:nvPicPr>
                  <pic:blipFill>
                    <a:blip r:embed="rId9"/>
                    <a:stretch>
                      <a:fillRect/>
                    </a:stretch>
                  </pic:blipFill>
                  <pic:spPr bwMode="auto">
                    <a:xfrm>
                      <a:off x="0" y="0"/>
                      <a:ext cx="5943600" cy="4457700"/>
                    </a:xfrm>
                    <a:prstGeom prst="rect">
                      <a:avLst/>
                    </a:prstGeom>
                    <a:noFill/>
                    <a:ln w="9525">
                      <a:noFill/>
                      <a:headEnd/>
                      <a:tailEnd/>
                    </a:ln>
                  </pic:spPr>
                </pic:pic>
              </a:graphicData>
            </a:graphic>
          </wp:inline>
        </w:drawing>
      </w:r>
      <w:r>
        <w:t xml:space="preserve"> Over the study period, DOC concentrations decreased throughout the wet season, and increased again during the dry summer months (Fig.3). This seasonal DOC concentration pattern was clear at each of the six installation locations in the LWSA </w:t>
      </w:r>
      <w:r>
        <w:t>(Fig.4).</w:t>
      </w:r>
    </w:p>
    <w:p w:rsidR="00BC709D" w:rsidRDefault="00871E0D">
      <w:r>
        <w:rPr>
          <w:noProof/>
        </w:rPr>
        <w:lastRenderedPageBreak/>
        <w:drawing>
          <wp:inline distT="0" distB="0" distL="0" distR="0">
            <wp:extent cx="5943600" cy="4457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DOC%20over%20time%20at%206%20sites%20by%20sample_type-1.png"/>
                    <pic:cNvPicPr>
                      <a:picLocks noChangeAspect="1" noChangeArrowheads="1"/>
                    </pic:cNvPicPr>
                  </pic:nvPicPr>
                  <pic:blipFill>
                    <a:blip r:embed="rId10"/>
                    <a:stretch>
                      <a:fillRect/>
                    </a:stretch>
                  </pic:blipFill>
                  <pic:spPr bwMode="auto">
                    <a:xfrm>
                      <a:off x="0" y="0"/>
                      <a:ext cx="5943600" cy="4457700"/>
                    </a:xfrm>
                    <a:prstGeom prst="rect">
                      <a:avLst/>
                    </a:prstGeom>
                    <a:noFill/>
                    <a:ln w="9525">
                      <a:noFill/>
                      <a:headEnd/>
                      <a:tailEnd/>
                    </a:ln>
                  </pic:spPr>
                </pic:pic>
              </a:graphicData>
            </a:graphic>
          </wp:inline>
        </w:drawing>
      </w:r>
    </w:p>
    <w:p w:rsidR="00BC709D" w:rsidRDefault="00871E0D">
      <w:pPr>
        <w:pStyle w:val="Heading2"/>
      </w:pPr>
      <w:bookmarkStart w:id="7" w:name="seasonal-examination-of-doc-dom-dynamics"/>
      <w:r>
        <w:t>Seasonal examination of DOC &amp; DOM dynamics</w:t>
      </w:r>
      <w:bookmarkEnd w:id="7"/>
    </w:p>
    <w:p w:rsidR="00BC709D" w:rsidRDefault="00871E0D">
      <w:r>
        <w:t>In this section, a categorical season ID was used to assess temporal variations in DOC. Seasons were separated based on months of the year: the wet season was October through May, and the dry season was</w:t>
      </w:r>
      <w:r>
        <w:t xml:space="preserve"> June until October.</w:t>
      </w:r>
    </w:p>
    <w:p w:rsidR="00BC709D" w:rsidRDefault="00871E0D">
      <w:pPr>
        <w:numPr>
          <w:ilvl w:val="0"/>
          <w:numId w:val="14"/>
        </w:numPr>
      </w:pPr>
      <w:r>
        <w:t>Precipitation data will be employed to operationally separate season (data obtained January 31, 2020 from CRD).</w:t>
      </w:r>
    </w:p>
    <w:p w:rsidR="00BC709D" w:rsidRDefault="00871E0D">
      <w:r>
        <w:t>These seasonal plots show data from both Rack and Grab samples in order to include the full available range of concentrations.</w:t>
      </w:r>
    </w:p>
    <w:p w:rsidR="00BC709D" w:rsidRDefault="00871E0D">
      <w:r>
        <w:t xml:space="preserve">In the wet season, DOC concentrations generally increased during stormflow (relative to between-storm peaks) </w:t>
      </w:r>
      <w:r>
        <w:rPr>
          <w:i/>
        </w:rPr>
        <w:t>{data not shown here</w:t>
      </w:r>
      <w:r>
        <w:rPr>
          <w:i/>
        </w:rPr>
        <w:t>}</w:t>
      </w:r>
      <w:r>
        <w:t>, and progressively dropped over the course of the wet season. During dry season baseflow, DOC concentration was elevated compared to late wet season DOC (Fig.5).</w:t>
      </w:r>
    </w:p>
    <w:p w:rsidR="00BC709D" w:rsidRDefault="00871E0D">
      <w:r>
        <w:rPr>
          <w:noProof/>
        </w:rPr>
        <w:lastRenderedPageBreak/>
        <w:drawing>
          <wp:inline distT="0" distB="0" distL="0" distR="0">
            <wp:extent cx="5943600" cy="4457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seasonal%20DOC%20table%20and%20ridge%20plot-1.png"/>
                    <pic:cNvPicPr>
                      <a:picLocks noChangeAspect="1" noChangeArrowheads="1"/>
                    </pic:cNvPicPr>
                  </pic:nvPicPr>
                  <pic:blipFill>
                    <a:blip r:embed="rId11"/>
                    <a:stretch>
                      <a:fillRect/>
                    </a:stretch>
                  </pic:blipFill>
                  <pic:spPr bwMode="auto">
                    <a:xfrm>
                      <a:off x="0" y="0"/>
                      <a:ext cx="5943600" cy="4457700"/>
                    </a:xfrm>
                    <a:prstGeom prst="rect">
                      <a:avLst/>
                    </a:prstGeom>
                    <a:noFill/>
                    <a:ln w="9525">
                      <a:noFill/>
                      <a:headEnd/>
                      <a:tailEnd/>
                    </a:ln>
                  </pic:spPr>
                </pic:pic>
              </a:graphicData>
            </a:graphic>
          </wp:inline>
        </w:drawing>
      </w:r>
    </w:p>
    <w:p w:rsidR="00BC709D" w:rsidRDefault="00871E0D">
      <w:r>
        <w:t>At each of the six sub-basin monitoring locations, mean DOC was higher during the dry seas</w:t>
      </w:r>
      <w:r>
        <w:t>on than during the wet season (Table 2, Fig.8). There was less variation in dry season DOC concentrations at each site also (Table 2), which could be due to actual reduction in variance in the absence of stormflow pulses and also due to fewer dry season sa</w:t>
      </w:r>
      <w:r>
        <w:t>mples (n = 46) compared to wet season samples (n = 278).</w:t>
      </w:r>
    </w:p>
    <w:tbl>
      <w:tblPr>
        <w:tblW w:w="0" w:type="pct"/>
        <w:tblLook w:val="07E0" w:firstRow="1" w:lastRow="1" w:firstColumn="1" w:lastColumn="1" w:noHBand="1" w:noVBand="1"/>
      </w:tblPr>
      <w:tblGrid>
        <w:gridCol w:w="1456"/>
        <w:gridCol w:w="597"/>
        <w:gridCol w:w="2135"/>
        <w:gridCol w:w="2022"/>
        <w:gridCol w:w="1063"/>
      </w:tblGrid>
      <w:tr w:rsidR="00BC709D">
        <w:tc>
          <w:tcPr>
            <w:tcW w:w="0" w:type="auto"/>
            <w:tcBorders>
              <w:bottom w:val="single" w:sz="0" w:space="0" w:color="auto"/>
            </w:tcBorders>
            <w:vAlign w:val="bottom"/>
          </w:tcPr>
          <w:p w:rsidR="00BC709D" w:rsidRDefault="00871E0D">
            <w:r>
              <w:t>season</w:t>
            </w:r>
          </w:p>
        </w:tc>
        <w:tc>
          <w:tcPr>
            <w:tcW w:w="0" w:type="auto"/>
            <w:tcBorders>
              <w:bottom w:val="single" w:sz="0" w:space="0" w:color="auto"/>
            </w:tcBorders>
            <w:vAlign w:val="bottom"/>
          </w:tcPr>
          <w:p w:rsidR="00BC709D" w:rsidRDefault="00871E0D">
            <w:r>
              <w:t>site</w:t>
            </w:r>
          </w:p>
        </w:tc>
        <w:tc>
          <w:tcPr>
            <w:tcW w:w="0" w:type="auto"/>
            <w:tcBorders>
              <w:bottom w:val="single" w:sz="0" w:space="0" w:color="auto"/>
            </w:tcBorders>
            <w:vAlign w:val="bottom"/>
          </w:tcPr>
          <w:p w:rsidR="00BC709D" w:rsidRDefault="00871E0D">
            <w:pPr>
              <w:jc w:val="right"/>
            </w:pPr>
            <w:r>
              <w:t>mean DOC (mg/L)</w:t>
            </w:r>
          </w:p>
        </w:tc>
        <w:tc>
          <w:tcPr>
            <w:tcW w:w="0" w:type="auto"/>
            <w:tcBorders>
              <w:bottom w:val="single" w:sz="0" w:space="0" w:color="auto"/>
            </w:tcBorders>
            <w:vAlign w:val="bottom"/>
          </w:tcPr>
          <w:p w:rsidR="00BC709D" w:rsidRDefault="00871E0D">
            <w:pPr>
              <w:jc w:val="right"/>
            </w:pPr>
            <w:r>
              <w:t>std.dev. (± mg/L)</w:t>
            </w:r>
          </w:p>
        </w:tc>
        <w:tc>
          <w:tcPr>
            <w:tcW w:w="0" w:type="auto"/>
            <w:tcBorders>
              <w:bottom w:val="single" w:sz="0" w:space="0" w:color="auto"/>
            </w:tcBorders>
            <w:vAlign w:val="bottom"/>
          </w:tcPr>
          <w:p w:rsidR="00BC709D" w:rsidRDefault="00871E0D">
            <w:pPr>
              <w:jc w:val="right"/>
            </w:pPr>
            <w:r>
              <w:t>RSD (%)</w:t>
            </w:r>
          </w:p>
        </w:tc>
      </w:tr>
      <w:tr w:rsidR="00BC709D">
        <w:tc>
          <w:tcPr>
            <w:tcW w:w="0" w:type="auto"/>
          </w:tcPr>
          <w:p w:rsidR="00BC709D" w:rsidRDefault="00871E0D">
            <w:r>
              <w:t>Weeks-out</w:t>
            </w:r>
          </w:p>
        </w:tc>
        <w:tc>
          <w:tcPr>
            <w:tcW w:w="0" w:type="auto"/>
          </w:tcPr>
          <w:p w:rsidR="00BC709D" w:rsidRDefault="00871E0D">
            <w:r>
              <w:t>dry</w:t>
            </w:r>
          </w:p>
        </w:tc>
        <w:tc>
          <w:tcPr>
            <w:tcW w:w="0" w:type="auto"/>
          </w:tcPr>
          <w:p w:rsidR="00BC709D" w:rsidRDefault="00871E0D">
            <w:pPr>
              <w:jc w:val="right"/>
            </w:pPr>
            <w:r>
              <w:t>13.4</w:t>
            </w:r>
          </w:p>
        </w:tc>
        <w:tc>
          <w:tcPr>
            <w:tcW w:w="0" w:type="auto"/>
          </w:tcPr>
          <w:p w:rsidR="00BC709D" w:rsidRDefault="00871E0D">
            <w:pPr>
              <w:jc w:val="right"/>
            </w:pPr>
            <w:r>
              <w:t>3.4</w:t>
            </w:r>
          </w:p>
        </w:tc>
        <w:tc>
          <w:tcPr>
            <w:tcW w:w="0" w:type="auto"/>
          </w:tcPr>
          <w:p w:rsidR="00BC709D" w:rsidRDefault="00871E0D">
            <w:pPr>
              <w:jc w:val="right"/>
            </w:pPr>
            <w:r>
              <w:t>25.3</w:t>
            </w:r>
          </w:p>
        </w:tc>
      </w:tr>
      <w:tr w:rsidR="00BC709D">
        <w:tc>
          <w:tcPr>
            <w:tcW w:w="0" w:type="auto"/>
          </w:tcPr>
          <w:p w:rsidR="00BC709D" w:rsidRDefault="00871E0D">
            <w:r>
              <w:t>Weeks-out</w:t>
            </w:r>
          </w:p>
        </w:tc>
        <w:tc>
          <w:tcPr>
            <w:tcW w:w="0" w:type="auto"/>
          </w:tcPr>
          <w:p w:rsidR="00BC709D" w:rsidRDefault="00871E0D">
            <w:r>
              <w:t>wet</w:t>
            </w:r>
          </w:p>
        </w:tc>
        <w:tc>
          <w:tcPr>
            <w:tcW w:w="0" w:type="auto"/>
          </w:tcPr>
          <w:p w:rsidR="00BC709D" w:rsidRDefault="00871E0D">
            <w:pPr>
              <w:jc w:val="right"/>
            </w:pPr>
            <w:r>
              <w:t>9.8</w:t>
            </w:r>
          </w:p>
        </w:tc>
        <w:tc>
          <w:tcPr>
            <w:tcW w:w="0" w:type="auto"/>
          </w:tcPr>
          <w:p w:rsidR="00BC709D" w:rsidRDefault="00871E0D">
            <w:pPr>
              <w:jc w:val="right"/>
            </w:pPr>
            <w:r>
              <w:t>3.4</w:t>
            </w:r>
          </w:p>
        </w:tc>
        <w:tc>
          <w:tcPr>
            <w:tcW w:w="0" w:type="auto"/>
          </w:tcPr>
          <w:p w:rsidR="00BC709D" w:rsidRDefault="00871E0D">
            <w:pPr>
              <w:jc w:val="right"/>
            </w:pPr>
            <w:r>
              <w:t>34.2</w:t>
            </w:r>
          </w:p>
        </w:tc>
      </w:tr>
      <w:tr w:rsidR="00BC709D">
        <w:tc>
          <w:tcPr>
            <w:tcW w:w="0" w:type="auto"/>
          </w:tcPr>
          <w:p w:rsidR="00BC709D" w:rsidRDefault="00871E0D">
            <w:r>
              <w:t>Chris-crk</w:t>
            </w:r>
          </w:p>
        </w:tc>
        <w:tc>
          <w:tcPr>
            <w:tcW w:w="0" w:type="auto"/>
          </w:tcPr>
          <w:p w:rsidR="00BC709D" w:rsidRDefault="00871E0D">
            <w:r>
              <w:t>dry</w:t>
            </w:r>
          </w:p>
        </w:tc>
        <w:tc>
          <w:tcPr>
            <w:tcW w:w="0" w:type="auto"/>
          </w:tcPr>
          <w:p w:rsidR="00BC709D" w:rsidRDefault="00871E0D">
            <w:pPr>
              <w:jc w:val="right"/>
            </w:pPr>
            <w:r>
              <w:t>7.2</w:t>
            </w:r>
          </w:p>
        </w:tc>
        <w:tc>
          <w:tcPr>
            <w:tcW w:w="0" w:type="auto"/>
          </w:tcPr>
          <w:p w:rsidR="00BC709D" w:rsidRDefault="00871E0D">
            <w:pPr>
              <w:jc w:val="right"/>
            </w:pPr>
            <w:r>
              <w:t>1.2</w:t>
            </w:r>
          </w:p>
        </w:tc>
        <w:tc>
          <w:tcPr>
            <w:tcW w:w="0" w:type="auto"/>
          </w:tcPr>
          <w:p w:rsidR="00BC709D" w:rsidRDefault="00871E0D">
            <w:pPr>
              <w:jc w:val="right"/>
            </w:pPr>
            <w:r>
              <w:t>16.0</w:t>
            </w:r>
          </w:p>
        </w:tc>
      </w:tr>
      <w:tr w:rsidR="00BC709D">
        <w:tc>
          <w:tcPr>
            <w:tcW w:w="0" w:type="auto"/>
          </w:tcPr>
          <w:p w:rsidR="00BC709D" w:rsidRDefault="00871E0D">
            <w:r>
              <w:t>Chris-crk</w:t>
            </w:r>
          </w:p>
        </w:tc>
        <w:tc>
          <w:tcPr>
            <w:tcW w:w="0" w:type="auto"/>
          </w:tcPr>
          <w:p w:rsidR="00BC709D" w:rsidRDefault="00871E0D">
            <w:r>
              <w:t>wet</w:t>
            </w:r>
          </w:p>
        </w:tc>
        <w:tc>
          <w:tcPr>
            <w:tcW w:w="0" w:type="auto"/>
          </w:tcPr>
          <w:p w:rsidR="00BC709D" w:rsidRDefault="00871E0D">
            <w:pPr>
              <w:jc w:val="right"/>
            </w:pPr>
            <w:r>
              <w:t>4.7</w:t>
            </w:r>
          </w:p>
        </w:tc>
        <w:tc>
          <w:tcPr>
            <w:tcW w:w="0" w:type="auto"/>
          </w:tcPr>
          <w:p w:rsidR="00BC709D" w:rsidRDefault="00871E0D">
            <w:pPr>
              <w:jc w:val="right"/>
            </w:pPr>
            <w:r>
              <w:t>2.0</w:t>
            </w:r>
          </w:p>
        </w:tc>
        <w:tc>
          <w:tcPr>
            <w:tcW w:w="0" w:type="auto"/>
          </w:tcPr>
          <w:p w:rsidR="00BC709D" w:rsidRDefault="00871E0D">
            <w:pPr>
              <w:jc w:val="right"/>
            </w:pPr>
            <w:r>
              <w:t>42.0</w:t>
            </w:r>
          </w:p>
        </w:tc>
      </w:tr>
      <w:tr w:rsidR="00BC709D">
        <w:tc>
          <w:tcPr>
            <w:tcW w:w="0" w:type="auto"/>
          </w:tcPr>
          <w:p w:rsidR="00BC709D" w:rsidRDefault="00871E0D">
            <w:r>
              <w:lastRenderedPageBreak/>
              <w:t>Leech-head</w:t>
            </w:r>
          </w:p>
        </w:tc>
        <w:tc>
          <w:tcPr>
            <w:tcW w:w="0" w:type="auto"/>
          </w:tcPr>
          <w:p w:rsidR="00BC709D" w:rsidRDefault="00871E0D">
            <w:r>
              <w:t>dry</w:t>
            </w:r>
          </w:p>
        </w:tc>
        <w:tc>
          <w:tcPr>
            <w:tcW w:w="0" w:type="auto"/>
          </w:tcPr>
          <w:p w:rsidR="00BC709D" w:rsidRDefault="00871E0D">
            <w:pPr>
              <w:jc w:val="right"/>
            </w:pPr>
            <w:r>
              <w:t>7.6</w:t>
            </w:r>
          </w:p>
        </w:tc>
        <w:tc>
          <w:tcPr>
            <w:tcW w:w="0" w:type="auto"/>
          </w:tcPr>
          <w:p w:rsidR="00BC709D" w:rsidRDefault="00871E0D">
            <w:pPr>
              <w:jc w:val="right"/>
            </w:pPr>
            <w:r>
              <w:t>1.9</w:t>
            </w:r>
          </w:p>
        </w:tc>
        <w:tc>
          <w:tcPr>
            <w:tcW w:w="0" w:type="auto"/>
          </w:tcPr>
          <w:p w:rsidR="00BC709D" w:rsidRDefault="00871E0D">
            <w:pPr>
              <w:jc w:val="right"/>
            </w:pPr>
            <w:r>
              <w:t>25.3</w:t>
            </w:r>
          </w:p>
        </w:tc>
      </w:tr>
      <w:tr w:rsidR="00BC709D">
        <w:tc>
          <w:tcPr>
            <w:tcW w:w="0" w:type="auto"/>
          </w:tcPr>
          <w:p w:rsidR="00BC709D" w:rsidRDefault="00871E0D">
            <w:r>
              <w:t>Leech-head</w:t>
            </w:r>
          </w:p>
        </w:tc>
        <w:tc>
          <w:tcPr>
            <w:tcW w:w="0" w:type="auto"/>
          </w:tcPr>
          <w:p w:rsidR="00BC709D" w:rsidRDefault="00871E0D">
            <w:r>
              <w:t>wet</w:t>
            </w:r>
          </w:p>
        </w:tc>
        <w:tc>
          <w:tcPr>
            <w:tcW w:w="0" w:type="auto"/>
          </w:tcPr>
          <w:p w:rsidR="00BC709D" w:rsidRDefault="00871E0D">
            <w:pPr>
              <w:jc w:val="right"/>
            </w:pPr>
            <w:r>
              <w:t>7.3</w:t>
            </w:r>
          </w:p>
        </w:tc>
        <w:tc>
          <w:tcPr>
            <w:tcW w:w="0" w:type="auto"/>
          </w:tcPr>
          <w:p w:rsidR="00BC709D" w:rsidRDefault="00871E0D">
            <w:pPr>
              <w:jc w:val="right"/>
            </w:pPr>
            <w:r>
              <w:t>1.6</w:t>
            </w:r>
          </w:p>
        </w:tc>
        <w:tc>
          <w:tcPr>
            <w:tcW w:w="0" w:type="auto"/>
          </w:tcPr>
          <w:p w:rsidR="00BC709D" w:rsidRDefault="00871E0D">
            <w:pPr>
              <w:jc w:val="right"/>
            </w:pPr>
            <w:r>
              <w:t>21.6</w:t>
            </w:r>
          </w:p>
        </w:tc>
      </w:tr>
      <w:tr w:rsidR="00BC709D">
        <w:tc>
          <w:tcPr>
            <w:tcW w:w="0" w:type="auto"/>
          </w:tcPr>
          <w:p w:rsidR="00BC709D" w:rsidRDefault="00871E0D">
            <w:r>
              <w:t>Cragg-crk</w:t>
            </w:r>
          </w:p>
        </w:tc>
        <w:tc>
          <w:tcPr>
            <w:tcW w:w="0" w:type="auto"/>
          </w:tcPr>
          <w:p w:rsidR="00BC709D" w:rsidRDefault="00871E0D">
            <w:r>
              <w:t>dry</w:t>
            </w:r>
          </w:p>
        </w:tc>
        <w:tc>
          <w:tcPr>
            <w:tcW w:w="0" w:type="auto"/>
          </w:tcPr>
          <w:p w:rsidR="00BC709D" w:rsidRDefault="00871E0D">
            <w:pPr>
              <w:jc w:val="right"/>
            </w:pPr>
            <w:r>
              <w:t>5.4</w:t>
            </w:r>
          </w:p>
        </w:tc>
        <w:tc>
          <w:tcPr>
            <w:tcW w:w="0" w:type="auto"/>
          </w:tcPr>
          <w:p w:rsidR="00BC709D" w:rsidRDefault="00871E0D">
            <w:pPr>
              <w:jc w:val="right"/>
            </w:pPr>
            <w:r>
              <w:t>1.5</w:t>
            </w:r>
          </w:p>
        </w:tc>
        <w:tc>
          <w:tcPr>
            <w:tcW w:w="0" w:type="auto"/>
          </w:tcPr>
          <w:p w:rsidR="00BC709D" w:rsidRDefault="00871E0D">
            <w:pPr>
              <w:jc w:val="right"/>
            </w:pPr>
            <w:r>
              <w:t>27.2</w:t>
            </w:r>
          </w:p>
        </w:tc>
      </w:tr>
      <w:tr w:rsidR="00BC709D">
        <w:tc>
          <w:tcPr>
            <w:tcW w:w="0" w:type="auto"/>
          </w:tcPr>
          <w:p w:rsidR="00BC709D" w:rsidRDefault="00871E0D">
            <w:r>
              <w:t>Cragg-crk</w:t>
            </w:r>
          </w:p>
        </w:tc>
        <w:tc>
          <w:tcPr>
            <w:tcW w:w="0" w:type="auto"/>
          </w:tcPr>
          <w:p w:rsidR="00BC709D" w:rsidRDefault="00871E0D">
            <w:r>
              <w:t>wet</w:t>
            </w:r>
          </w:p>
        </w:tc>
        <w:tc>
          <w:tcPr>
            <w:tcW w:w="0" w:type="auto"/>
          </w:tcPr>
          <w:p w:rsidR="00BC709D" w:rsidRDefault="00871E0D">
            <w:pPr>
              <w:jc w:val="right"/>
            </w:pPr>
            <w:r>
              <w:t>4.7</w:t>
            </w:r>
          </w:p>
        </w:tc>
        <w:tc>
          <w:tcPr>
            <w:tcW w:w="0" w:type="auto"/>
          </w:tcPr>
          <w:p w:rsidR="00BC709D" w:rsidRDefault="00871E0D">
            <w:pPr>
              <w:jc w:val="right"/>
            </w:pPr>
            <w:r>
              <w:t>1.5</w:t>
            </w:r>
          </w:p>
        </w:tc>
        <w:tc>
          <w:tcPr>
            <w:tcW w:w="0" w:type="auto"/>
          </w:tcPr>
          <w:p w:rsidR="00BC709D" w:rsidRDefault="00871E0D">
            <w:pPr>
              <w:jc w:val="right"/>
            </w:pPr>
            <w:r>
              <w:t>33.0</w:t>
            </w:r>
          </w:p>
        </w:tc>
      </w:tr>
      <w:tr w:rsidR="00BC709D">
        <w:tc>
          <w:tcPr>
            <w:tcW w:w="0" w:type="auto"/>
          </w:tcPr>
          <w:p w:rsidR="00BC709D" w:rsidRDefault="00871E0D">
            <w:r>
              <w:t>West-Leech</w:t>
            </w:r>
          </w:p>
        </w:tc>
        <w:tc>
          <w:tcPr>
            <w:tcW w:w="0" w:type="auto"/>
          </w:tcPr>
          <w:p w:rsidR="00BC709D" w:rsidRDefault="00871E0D">
            <w:r>
              <w:t>dry</w:t>
            </w:r>
          </w:p>
        </w:tc>
        <w:tc>
          <w:tcPr>
            <w:tcW w:w="0" w:type="auto"/>
          </w:tcPr>
          <w:p w:rsidR="00BC709D" w:rsidRDefault="00871E0D">
            <w:pPr>
              <w:jc w:val="right"/>
            </w:pPr>
            <w:r>
              <w:t>7.1</w:t>
            </w:r>
          </w:p>
        </w:tc>
        <w:tc>
          <w:tcPr>
            <w:tcW w:w="0" w:type="auto"/>
          </w:tcPr>
          <w:p w:rsidR="00BC709D" w:rsidRDefault="00871E0D">
            <w:pPr>
              <w:jc w:val="right"/>
            </w:pPr>
            <w:r>
              <w:t>2.1</w:t>
            </w:r>
          </w:p>
        </w:tc>
        <w:tc>
          <w:tcPr>
            <w:tcW w:w="0" w:type="auto"/>
          </w:tcPr>
          <w:p w:rsidR="00BC709D" w:rsidRDefault="00871E0D">
            <w:pPr>
              <w:jc w:val="right"/>
            </w:pPr>
            <w:r>
              <w:t>29.9</w:t>
            </w:r>
          </w:p>
        </w:tc>
      </w:tr>
      <w:tr w:rsidR="00BC709D">
        <w:tc>
          <w:tcPr>
            <w:tcW w:w="0" w:type="auto"/>
          </w:tcPr>
          <w:p w:rsidR="00BC709D" w:rsidRDefault="00871E0D">
            <w:r>
              <w:t>West-Leech</w:t>
            </w:r>
          </w:p>
        </w:tc>
        <w:tc>
          <w:tcPr>
            <w:tcW w:w="0" w:type="auto"/>
          </w:tcPr>
          <w:p w:rsidR="00BC709D" w:rsidRDefault="00871E0D">
            <w:r>
              <w:t>wet</w:t>
            </w:r>
          </w:p>
        </w:tc>
        <w:tc>
          <w:tcPr>
            <w:tcW w:w="0" w:type="auto"/>
          </w:tcPr>
          <w:p w:rsidR="00BC709D" w:rsidRDefault="00871E0D">
            <w:pPr>
              <w:jc w:val="right"/>
            </w:pPr>
            <w:r>
              <w:t>5.7</w:t>
            </w:r>
          </w:p>
        </w:tc>
        <w:tc>
          <w:tcPr>
            <w:tcW w:w="0" w:type="auto"/>
          </w:tcPr>
          <w:p w:rsidR="00BC709D" w:rsidRDefault="00871E0D">
            <w:pPr>
              <w:jc w:val="right"/>
            </w:pPr>
            <w:r>
              <w:t>2.3</w:t>
            </w:r>
          </w:p>
        </w:tc>
        <w:tc>
          <w:tcPr>
            <w:tcW w:w="0" w:type="auto"/>
          </w:tcPr>
          <w:p w:rsidR="00BC709D" w:rsidRDefault="00871E0D">
            <w:pPr>
              <w:jc w:val="right"/>
            </w:pPr>
            <w:r>
              <w:t>40.4</w:t>
            </w:r>
          </w:p>
        </w:tc>
      </w:tr>
      <w:tr w:rsidR="00BC709D">
        <w:tc>
          <w:tcPr>
            <w:tcW w:w="0" w:type="auto"/>
          </w:tcPr>
          <w:p w:rsidR="00BC709D" w:rsidRDefault="00871E0D">
            <w:r>
              <w:t>Tunnel</w:t>
            </w:r>
          </w:p>
        </w:tc>
        <w:tc>
          <w:tcPr>
            <w:tcW w:w="0" w:type="auto"/>
          </w:tcPr>
          <w:p w:rsidR="00BC709D" w:rsidRDefault="00871E0D">
            <w:r>
              <w:t>dry</w:t>
            </w:r>
          </w:p>
        </w:tc>
        <w:tc>
          <w:tcPr>
            <w:tcW w:w="0" w:type="auto"/>
          </w:tcPr>
          <w:p w:rsidR="00BC709D" w:rsidRDefault="00871E0D">
            <w:pPr>
              <w:jc w:val="right"/>
            </w:pPr>
            <w:r>
              <w:t>6.6</w:t>
            </w:r>
          </w:p>
        </w:tc>
        <w:tc>
          <w:tcPr>
            <w:tcW w:w="0" w:type="auto"/>
          </w:tcPr>
          <w:p w:rsidR="00BC709D" w:rsidRDefault="00871E0D">
            <w:pPr>
              <w:jc w:val="right"/>
            </w:pPr>
            <w:r>
              <w:t>1.0</w:t>
            </w:r>
          </w:p>
        </w:tc>
        <w:tc>
          <w:tcPr>
            <w:tcW w:w="0" w:type="auto"/>
          </w:tcPr>
          <w:p w:rsidR="00BC709D" w:rsidRDefault="00871E0D">
            <w:pPr>
              <w:jc w:val="right"/>
            </w:pPr>
            <w:r>
              <w:t>15.6</w:t>
            </w:r>
          </w:p>
        </w:tc>
      </w:tr>
      <w:tr w:rsidR="00BC709D">
        <w:tc>
          <w:tcPr>
            <w:tcW w:w="0" w:type="auto"/>
          </w:tcPr>
          <w:p w:rsidR="00BC709D" w:rsidRDefault="00871E0D">
            <w:r>
              <w:t>Tunnel</w:t>
            </w:r>
          </w:p>
        </w:tc>
        <w:tc>
          <w:tcPr>
            <w:tcW w:w="0" w:type="auto"/>
          </w:tcPr>
          <w:p w:rsidR="00BC709D" w:rsidRDefault="00871E0D">
            <w:r>
              <w:t>wet</w:t>
            </w:r>
          </w:p>
        </w:tc>
        <w:tc>
          <w:tcPr>
            <w:tcW w:w="0" w:type="auto"/>
          </w:tcPr>
          <w:p w:rsidR="00BC709D" w:rsidRDefault="00871E0D">
            <w:pPr>
              <w:jc w:val="right"/>
            </w:pPr>
            <w:r>
              <w:t>4.5</w:t>
            </w:r>
          </w:p>
        </w:tc>
        <w:tc>
          <w:tcPr>
            <w:tcW w:w="0" w:type="auto"/>
          </w:tcPr>
          <w:p w:rsidR="00BC709D" w:rsidRDefault="00871E0D">
            <w:pPr>
              <w:jc w:val="right"/>
            </w:pPr>
            <w:r>
              <w:t>1.7</w:t>
            </w:r>
          </w:p>
        </w:tc>
        <w:tc>
          <w:tcPr>
            <w:tcW w:w="0" w:type="auto"/>
          </w:tcPr>
          <w:p w:rsidR="00BC709D" w:rsidRDefault="00871E0D">
            <w:pPr>
              <w:jc w:val="right"/>
            </w:pPr>
            <w:r>
              <w:t>38.7</w:t>
            </w:r>
          </w:p>
        </w:tc>
      </w:tr>
    </w:tbl>
    <w:p w:rsidR="00BC709D" w:rsidRDefault="00871E0D">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table%20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C709D" w:rsidRDefault="00871E0D">
      <w:r>
        <w:t>To remove the variance of stormflow DOC concentrations, Table 2-B and Figure 9 shows seasonal concentrations based only on Grab samples (excludes 166 stormflow samples collected by Racks).</w:t>
      </w:r>
    </w:p>
    <w:tbl>
      <w:tblPr>
        <w:tblW w:w="0" w:type="pct"/>
        <w:tblLook w:val="07E0" w:firstRow="1" w:lastRow="1" w:firstColumn="1" w:lastColumn="1" w:noHBand="1" w:noVBand="1"/>
      </w:tblPr>
      <w:tblGrid>
        <w:gridCol w:w="1456"/>
        <w:gridCol w:w="597"/>
        <w:gridCol w:w="2135"/>
        <w:gridCol w:w="2022"/>
        <w:gridCol w:w="1063"/>
      </w:tblGrid>
      <w:tr w:rsidR="00BC709D">
        <w:tc>
          <w:tcPr>
            <w:tcW w:w="0" w:type="auto"/>
            <w:tcBorders>
              <w:bottom w:val="single" w:sz="0" w:space="0" w:color="auto"/>
            </w:tcBorders>
            <w:vAlign w:val="bottom"/>
          </w:tcPr>
          <w:p w:rsidR="00BC709D" w:rsidRDefault="00871E0D">
            <w:r>
              <w:lastRenderedPageBreak/>
              <w:t>season</w:t>
            </w:r>
          </w:p>
        </w:tc>
        <w:tc>
          <w:tcPr>
            <w:tcW w:w="0" w:type="auto"/>
            <w:tcBorders>
              <w:bottom w:val="single" w:sz="0" w:space="0" w:color="auto"/>
            </w:tcBorders>
            <w:vAlign w:val="bottom"/>
          </w:tcPr>
          <w:p w:rsidR="00BC709D" w:rsidRDefault="00871E0D">
            <w:r>
              <w:t>site</w:t>
            </w:r>
          </w:p>
        </w:tc>
        <w:tc>
          <w:tcPr>
            <w:tcW w:w="0" w:type="auto"/>
            <w:tcBorders>
              <w:bottom w:val="single" w:sz="0" w:space="0" w:color="auto"/>
            </w:tcBorders>
            <w:vAlign w:val="bottom"/>
          </w:tcPr>
          <w:p w:rsidR="00BC709D" w:rsidRDefault="00871E0D">
            <w:pPr>
              <w:jc w:val="right"/>
            </w:pPr>
            <w:r>
              <w:t>mean DOC (mg/L)</w:t>
            </w:r>
          </w:p>
        </w:tc>
        <w:tc>
          <w:tcPr>
            <w:tcW w:w="0" w:type="auto"/>
            <w:tcBorders>
              <w:bottom w:val="single" w:sz="0" w:space="0" w:color="auto"/>
            </w:tcBorders>
            <w:vAlign w:val="bottom"/>
          </w:tcPr>
          <w:p w:rsidR="00BC709D" w:rsidRDefault="00871E0D">
            <w:pPr>
              <w:jc w:val="right"/>
            </w:pPr>
            <w:r>
              <w:t>std.dev. (± mg/L)</w:t>
            </w:r>
          </w:p>
        </w:tc>
        <w:tc>
          <w:tcPr>
            <w:tcW w:w="0" w:type="auto"/>
            <w:tcBorders>
              <w:bottom w:val="single" w:sz="0" w:space="0" w:color="auto"/>
            </w:tcBorders>
            <w:vAlign w:val="bottom"/>
          </w:tcPr>
          <w:p w:rsidR="00BC709D" w:rsidRDefault="00871E0D">
            <w:pPr>
              <w:jc w:val="right"/>
            </w:pPr>
            <w:r>
              <w:t>RSD (%)</w:t>
            </w:r>
          </w:p>
        </w:tc>
      </w:tr>
      <w:tr w:rsidR="00BC709D">
        <w:tc>
          <w:tcPr>
            <w:tcW w:w="0" w:type="auto"/>
          </w:tcPr>
          <w:p w:rsidR="00BC709D" w:rsidRDefault="00871E0D">
            <w:r>
              <w:t>Weeks-out</w:t>
            </w:r>
          </w:p>
        </w:tc>
        <w:tc>
          <w:tcPr>
            <w:tcW w:w="0" w:type="auto"/>
          </w:tcPr>
          <w:p w:rsidR="00BC709D" w:rsidRDefault="00871E0D">
            <w:r>
              <w:t>dry</w:t>
            </w:r>
          </w:p>
        </w:tc>
        <w:tc>
          <w:tcPr>
            <w:tcW w:w="0" w:type="auto"/>
          </w:tcPr>
          <w:p w:rsidR="00BC709D" w:rsidRDefault="00871E0D">
            <w:pPr>
              <w:jc w:val="right"/>
            </w:pPr>
            <w:r>
              <w:t>12.7</w:t>
            </w:r>
          </w:p>
        </w:tc>
        <w:tc>
          <w:tcPr>
            <w:tcW w:w="0" w:type="auto"/>
          </w:tcPr>
          <w:p w:rsidR="00BC709D" w:rsidRDefault="00871E0D">
            <w:pPr>
              <w:jc w:val="right"/>
            </w:pPr>
            <w:r>
              <w:t>3.4</w:t>
            </w:r>
          </w:p>
        </w:tc>
        <w:tc>
          <w:tcPr>
            <w:tcW w:w="0" w:type="auto"/>
          </w:tcPr>
          <w:p w:rsidR="00BC709D" w:rsidRDefault="00871E0D">
            <w:pPr>
              <w:jc w:val="right"/>
            </w:pPr>
            <w:r>
              <w:t>26.6</w:t>
            </w:r>
          </w:p>
        </w:tc>
      </w:tr>
      <w:tr w:rsidR="00BC709D">
        <w:tc>
          <w:tcPr>
            <w:tcW w:w="0" w:type="auto"/>
          </w:tcPr>
          <w:p w:rsidR="00BC709D" w:rsidRDefault="00871E0D">
            <w:r>
              <w:t>Weeks-out</w:t>
            </w:r>
          </w:p>
        </w:tc>
        <w:tc>
          <w:tcPr>
            <w:tcW w:w="0" w:type="auto"/>
          </w:tcPr>
          <w:p w:rsidR="00BC709D" w:rsidRDefault="00871E0D">
            <w:r>
              <w:t>wet</w:t>
            </w:r>
          </w:p>
        </w:tc>
        <w:tc>
          <w:tcPr>
            <w:tcW w:w="0" w:type="auto"/>
          </w:tcPr>
          <w:p w:rsidR="00BC709D" w:rsidRDefault="00871E0D">
            <w:pPr>
              <w:jc w:val="right"/>
            </w:pPr>
            <w:r>
              <w:t>9.3</w:t>
            </w:r>
          </w:p>
        </w:tc>
        <w:tc>
          <w:tcPr>
            <w:tcW w:w="0" w:type="auto"/>
          </w:tcPr>
          <w:p w:rsidR="00BC709D" w:rsidRDefault="00871E0D">
            <w:pPr>
              <w:jc w:val="right"/>
            </w:pPr>
            <w:r>
              <w:t>2.4</w:t>
            </w:r>
          </w:p>
        </w:tc>
        <w:tc>
          <w:tcPr>
            <w:tcW w:w="0" w:type="auto"/>
          </w:tcPr>
          <w:p w:rsidR="00BC709D" w:rsidRDefault="00871E0D">
            <w:pPr>
              <w:jc w:val="right"/>
            </w:pPr>
            <w:r>
              <w:t>25.4</w:t>
            </w:r>
          </w:p>
        </w:tc>
      </w:tr>
      <w:tr w:rsidR="00BC709D">
        <w:tc>
          <w:tcPr>
            <w:tcW w:w="0" w:type="auto"/>
          </w:tcPr>
          <w:p w:rsidR="00BC709D" w:rsidRDefault="00871E0D">
            <w:r>
              <w:t>Chris-crk</w:t>
            </w:r>
          </w:p>
        </w:tc>
        <w:tc>
          <w:tcPr>
            <w:tcW w:w="0" w:type="auto"/>
          </w:tcPr>
          <w:p w:rsidR="00BC709D" w:rsidRDefault="00871E0D">
            <w:r>
              <w:t>dry</w:t>
            </w:r>
          </w:p>
        </w:tc>
        <w:tc>
          <w:tcPr>
            <w:tcW w:w="0" w:type="auto"/>
          </w:tcPr>
          <w:p w:rsidR="00BC709D" w:rsidRDefault="00871E0D">
            <w:pPr>
              <w:jc w:val="right"/>
            </w:pPr>
            <w:r>
              <w:t>7.2</w:t>
            </w:r>
          </w:p>
        </w:tc>
        <w:tc>
          <w:tcPr>
            <w:tcW w:w="0" w:type="auto"/>
          </w:tcPr>
          <w:p w:rsidR="00BC709D" w:rsidRDefault="00871E0D">
            <w:pPr>
              <w:jc w:val="right"/>
            </w:pPr>
            <w:r>
              <w:t>1.2</w:t>
            </w:r>
          </w:p>
        </w:tc>
        <w:tc>
          <w:tcPr>
            <w:tcW w:w="0" w:type="auto"/>
          </w:tcPr>
          <w:p w:rsidR="00BC709D" w:rsidRDefault="00871E0D">
            <w:pPr>
              <w:jc w:val="right"/>
            </w:pPr>
            <w:r>
              <w:t>16.0</w:t>
            </w:r>
          </w:p>
        </w:tc>
      </w:tr>
      <w:tr w:rsidR="00BC709D">
        <w:tc>
          <w:tcPr>
            <w:tcW w:w="0" w:type="auto"/>
          </w:tcPr>
          <w:p w:rsidR="00BC709D" w:rsidRDefault="00871E0D">
            <w:r>
              <w:t>Chris-crk</w:t>
            </w:r>
          </w:p>
        </w:tc>
        <w:tc>
          <w:tcPr>
            <w:tcW w:w="0" w:type="auto"/>
          </w:tcPr>
          <w:p w:rsidR="00BC709D" w:rsidRDefault="00871E0D">
            <w:r>
              <w:t>wet</w:t>
            </w:r>
          </w:p>
        </w:tc>
        <w:tc>
          <w:tcPr>
            <w:tcW w:w="0" w:type="auto"/>
          </w:tcPr>
          <w:p w:rsidR="00BC709D" w:rsidRDefault="00871E0D">
            <w:pPr>
              <w:jc w:val="right"/>
            </w:pPr>
            <w:r>
              <w:t>3.3</w:t>
            </w:r>
          </w:p>
        </w:tc>
        <w:tc>
          <w:tcPr>
            <w:tcW w:w="0" w:type="auto"/>
          </w:tcPr>
          <w:p w:rsidR="00BC709D" w:rsidRDefault="00871E0D">
            <w:pPr>
              <w:jc w:val="right"/>
            </w:pPr>
            <w:r>
              <w:t>1.3</w:t>
            </w:r>
          </w:p>
        </w:tc>
        <w:tc>
          <w:tcPr>
            <w:tcW w:w="0" w:type="auto"/>
          </w:tcPr>
          <w:p w:rsidR="00BC709D" w:rsidRDefault="00871E0D">
            <w:pPr>
              <w:jc w:val="right"/>
            </w:pPr>
            <w:r>
              <w:t>39.9</w:t>
            </w:r>
          </w:p>
        </w:tc>
      </w:tr>
      <w:tr w:rsidR="00BC709D">
        <w:tc>
          <w:tcPr>
            <w:tcW w:w="0" w:type="auto"/>
          </w:tcPr>
          <w:p w:rsidR="00BC709D" w:rsidRDefault="00871E0D">
            <w:r>
              <w:t>Leech-head</w:t>
            </w:r>
          </w:p>
        </w:tc>
        <w:tc>
          <w:tcPr>
            <w:tcW w:w="0" w:type="auto"/>
          </w:tcPr>
          <w:p w:rsidR="00BC709D" w:rsidRDefault="00871E0D">
            <w:r>
              <w:t>dry</w:t>
            </w:r>
          </w:p>
        </w:tc>
        <w:tc>
          <w:tcPr>
            <w:tcW w:w="0" w:type="auto"/>
          </w:tcPr>
          <w:p w:rsidR="00BC709D" w:rsidRDefault="00871E0D">
            <w:pPr>
              <w:jc w:val="right"/>
            </w:pPr>
            <w:r>
              <w:t>7.3</w:t>
            </w:r>
          </w:p>
        </w:tc>
        <w:tc>
          <w:tcPr>
            <w:tcW w:w="0" w:type="auto"/>
          </w:tcPr>
          <w:p w:rsidR="00BC709D" w:rsidRDefault="00871E0D">
            <w:pPr>
              <w:jc w:val="right"/>
            </w:pPr>
            <w:r>
              <w:t>1.9</w:t>
            </w:r>
          </w:p>
        </w:tc>
        <w:tc>
          <w:tcPr>
            <w:tcW w:w="0" w:type="auto"/>
          </w:tcPr>
          <w:p w:rsidR="00BC709D" w:rsidRDefault="00871E0D">
            <w:pPr>
              <w:jc w:val="right"/>
            </w:pPr>
            <w:r>
              <w:t>26.5</w:t>
            </w:r>
          </w:p>
        </w:tc>
      </w:tr>
      <w:tr w:rsidR="00BC709D">
        <w:tc>
          <w:tcPr>
            <w:tcW w:w="0" w:type="auto"/>
          </w:tcPr>
          <w:p w:rsidR="00BC709D" w:rsidRDefault="00871E0D">
            <w:r>
              <w:t>Leech-head</w:t>
            </w:r>
          </w:p>
        </w:tc>
        <w:tc>
          <w:tcPr>
            <w:tcW w:w="0" w:type="auto"/>
          </w:tcPr>
          <w:p w:rsidR="00BC709D" w:rsidRDefault="00871E0D">
            <w:r>
              <w:t>wet</w:t>
            </w:r>
          </w:p>
        </w:tc>
        <w:tc>
          <w:tcPr>
            <w:tcW w:w="0" w:type="auto"/>
          </w:tcPr>
          <w:p w:rsidR="00BC709D" w:rsidRDefault="00871E0D">
            <w:pPr>
              <w:jc w:val="right"/>
            </w:pPr>
            <w:r>
              <w:t>6.6</w:t>
            </w:r>
          </w:p>
        </w:tc>
        <w:tc>
          <w:tcPr>
            <w:tcW w:w="0" w:type="auto"/>
          </w:tcPr>
          <w:p w:rsidR="00BC709D" w:rsidRDefault="00871E0D">
            <w:pPr>
              <w:jc w:val="right"/>
            </w:pPr>
            <w:r>
              <w:t>1.5</w:t>
            </w:r>
          </w:p>
        </w:tc>
        <w:tc>
          <w:tcPr>
            <w:tcW w:w="0" w:type="auto"/>
          </w:tcPr>
          <w:p w:rsidR="00BC709D" w:rsidRDefault="00871E0D">
            <w:pPr>
              <w:jc w:val="right"/>
            </w:pPr>
            <w:r>
              <w:t>22.2</w:t>
            </w:r>
          </w:p>
        </w:tc>
      </w:tr>
      <w:tr w:rsidR="00BC709D">
        <w:tc>
          <w:tcPr>
            <w:tcW w:w="0" w:type="auto"/>
          </w:tcPr>
          <w:p w:rsidR="00BC709D" w:rsidRDefault="00871E0D">
            <w:r>
              <w:t>Cragg-crk</w:t>
            </w:r>
          </w:p>
        </w:tc>
        <w:tc>
          <w:tcPr>
            <w:tcW w:w="0" w:type="auto"/>
          </w:tcPr>
          <w:p w:rsidR="00BC709D" w:rsidRDefault="00871E0D">
            <w:r>
              <w:t>dry</w:t>
            </w:r>
          </w:p>
        </w:tc>
        <w:tc>
          <w:tcPr>
            <w:tcW w:w="0" w:type="auto"/>
          </w:tcPr>
          <w:p w:rsidR="00BC709D" w:rsidRDefault="00871E0D">
            <w:pPr>
              <w:jc w:val="right"/>
            </w:pPr>
            <w:r>
              <w:t>5.4</w:t>
            </w:r>
          </w:p>
        </w:tc>
        <w:tc>
          <w:tcPr>
            <w:tcW w:w="0" w:type="auto"/>
          </w:tcPr>
          <w:p w:rsidR="00BC709D" w:rsidRDefault="00871E0D">
            <w:pPr>
              <w:jc w:val="right"/>
            </w:pPr>
            <w:r>
              <w:t>1.5</w:t>
            </w:r>
          </w:p>
        </w:tc>
        <w:tc>
          <w:tcPr>
            <w:tcW w:w="0" w:type="auto"/>
          </w:tcPr>
          <w:p w:rsidR="00BC709D" w:rsidRDefault="00871E0D">
            <w:pPr>
              <w:jc w:val="right"/>
            </w:pPr>
            <w:r>
              <w:t>27.2</w:t>
            </w:r>
          </w:p>
        </w:tc>
      </w:tr>
      <w:tr w:rsidR="00BC709D">
        <w:tc>
          <w:tcPr>
            <w:tcW w:w="0" w:type="auto"/>
          </w:tcPr>
          <w:p w:rsidR="00BC709D" w:rsidRDefault="00871E0D">
            <w:r>
              <w:t>Cragg-crk</w:t>
            </w:r>
          </w:p>
        </w:tc>
        <w:tc>
          <w:tcPr>
            <w:tcW w:w="0" w:type="auto"/>
          </w:tcPr>
          <w:p w:rsidR="00BC709D" w:rsidRDefault="00871E0D">
            <w:r>
              <w:t>wet</w:t>
            </w:r>
          </w:p>
        </w:tc>
        <w:tc>
          <w:tcPr>
            <w:tcW w:w="0" w:type="auto"/>
          </w:tcPr>
          <w:p w:rsidR="00BC709D" w:rsidRDefault="00871E0D">
            <w:pPr>
              <w:jc w:val="right"/>
            </w:pPr>
            <w:r>
              <w:t>3.8</w:t>
            </w:r>
          </w:p>
        </w:tc>
        <w:tc>
          <w:tcPr>
            <w:tcW w:w="0" w:type="auto"/>
          </w:tcPr>
          <w:p w:rsidR="00BC709D" w:rsidRDefault="00871E0D">
            <w:pPr>
              <w:jc w:val="right"/>
            </w:pPr>
            <w:r>
              <w:t>1.1</w:t>
            </w:r>
          </w:p>
        </w:tc>
        <w:tc>
          <w:tcPr>
            <w:tcW w:w="0" w:type="auto"/>
          </w:tcPr>
          <w:p w:rsidR="00BC709D" w:rsidRDefault="00871E0D">
            <w:pPr>
              <w:jc w:val="right"/>
            </w:pPr>
            <w:r>
              <w:t>27.8</w:t>
            </w:r>
          </w:p>
        </w:tc>
      </w:tr>
      <w:tr w:rsidR="00BC709D">
        <w:tc>
          <w:tcPr>
            <w:tcW w:w="0" w:type="auto"/>
          </w:tcPr>
          <w:p w:rsidR="00BC709D" w:rsidRDefault="00871E0D">
            <w:r>
              <w:t>West-Leech</w:t>
            </w:r>
          </w:p>
        </w:tc>
        <w:tc>
          <w:tcPr>
            <w:tcW w:w="0" w:type="auto"/>
          </w:tcPr>
          <w:p w:rsidR="00BC709D" w:rsidRDefault="00871E0D">
            <w:r>
              <w:t>dry</w:t>
            </w:r>
          </w:p>
        </w:tc>
        <w:tc>
          <w:tcPr>
            <w:tcW w:w="0" w:type="auto"/>
          </w:tcPr>
          <w:p w:rsidR="00BC709D" w:rsidRDefault="00871E0D">
            <w:pPr>
              <w:jc w:val="right"/>
            </w:pPr>
            <w:r>
              <w:t>6.3</w:t>
            </w:r>
          </w:p>
        </w:tc>
        <w:tc>
          <w:tcPr>
            <w:tcW w:w="0" w:type="auto"/>
          </w:tcPr>
          <w:p w:rsidR="00BC709D" w:rsidRDefault="00871E0D">
            <w:pPr>
              <w:jc w:val="right"/>
            </w:pPr>
            <w:r>
              <w:t>1.7</w:t>
            </w:r>
          </w:p>
        </w:tc>
        <w:tc>
          <w:tcPr>
            <w:tcW w:w="0" w:type="auto"/>
          </w:tcPr>
          <w:p w:rsidR="00BC709D" w:rsidRDefault="00871E0D">
            <w:pPr>
              <w:jc w:val="right"/>
            </w:pPr>
            <w:r>
              <w:t>26.6</w:t>
            </w:r>
          </w:p>
        </w:tc>
      </w:tr>
      <w:tr w:rsidR="00BC709D">
        <w:tc>
          <w:tcPr>
            <w:tcW w:w="0" w:type="auto"/>
          </w:tcPr>
          <w:p w:rsidR="00BC709D" w:rsidRDefault="00871E0D">
            <w:r>
              <w:t>West-Leech</w:t>
            </w:r>
          </w:p>
        </w:tc>
        <w:tc>
          <w:tcPr>
            <w:tcW w:w="0" w:type="auto"/>
          </w:tcPr>
          <w:p w:rsidR="00BC709D" w:rsidRDefault="00871E0D">
            <w:r>
              <w:t>wet</w:t>
            </w:r>
          </w:p>
        </w:tc>
        <w:tc>
          <w:tcPr>
            <w:tcW w:w="0" w:type="auto"/>
          </w:tcPr>
          <w:p w:rsidR="00BC709D" w:rsidRDefault="00871E0D">
            <w:pPr>
              <w:jc w:val="right"/>
            </w:pPr>
            <w:r>
              <w:t>3.8</w:t>
            </w:r>
          </w:p>
        </w:tc>
        <w:tc>
          <w:tcPr>
            <w:tcW w:w="0" w:type="auto"/>
          </w:tcPr>
          <w:p w:rsidR="00BC709D" w:rsidRDefault="00871E0D">
            <w:pPr>
              <w:jc w:val="right"/>
            </w:pPr>
            <w:r>
              <w:t>1.2</w:t>
            </w:r>
          </w:p>
        </w:tc>
        <w:tc>
          <w:tcPr>
            <w:tcW w:w="0" w:type="auto"/>
          </w:tcPr>
          <w:p w:rsidR="00BC709D" w:rsidRDefault="00871E0D">
            <w:pPr>
              <w:jc w:val="right"/>
            </w:pPr>
            <w:r>
              <w:t>31.5</w:t>
            </w:r>
          </w:p>
        </w:tc>
      </w:tr>
      <w:tr w:rsidR="00BC709D">
        <w:tc>
          <w:tcPr>
            <w:tcW w:w="0" w:type="auto"/>
          </w:tcPr>
          <w:p w:rsidR="00BC709D" w:rsidRDefault="00871E0D">
            <w:r>
              <w:t>Tunnel</w:t>
            </w:r>
          </w:p>
        </w:tc>
        <w:tc>
          <w:tcPr>
            <w:tcW w:w="0" w:type="auto"/>
          </w:tcPr>
          <w:p w:rsidR="00BC709D" w:rsidRDefault="00871E0D">
            <w:r>
              <w:t>dry</w:t>
            </w:r>
          </w:p>
        </w:tc>
        <w:tc>
          <w:tcPr>
            <w:tcW w:w="0" w:type="auto"/>
          </w:tcPr>
          <w:p w:rsidR="00BC709D" w:rsidRDefault="00871E0D">
            <w:pPr>
              <w:jc w:val="right"/>
            </w:pPr>
            <w:r>
              <w:t>6.6</w:t>
            </w:r>
          </w:p>
        </w:tc>
        <w:tc>
          <w:tcPr>
            <w:tcW w:w="0" w:type="auto"/>
          </w:tcPr>
          <w:p w:rsidR="00BC709D" w:rsidRDefault="00871E0D">
            <w:pPr>
              <w:jc w:val="right"/>
            </w:pPr>
            <w:r>
              <w:t>1.0</w:t>
            </w:r>
          </w:p>
        </w:tc>
        <w:tc>
          <w:tcPr>
            <w:tcW w:w="0" w:type="auto"/>
          </w:tcPr>
          <w:p w:rsidR="00BC709D" w:rsidRDefault="00871E0D">
            <w:pPr>
              <w:jc w:val="right"/>
            </w:pPr>
            <w:r>
              <w:t>15.6</w:t>
            </w:r>
          </w:p>
        </w:tc>
      </w:tr>
      <w:tr w:rsidR="00BC709D">
        <w:tc>
          <w:tcPr>
            <w:tcW w:w="0" w:type="auto"/>
          </w:tcPr>
          <w:p w:rsidR="00BC709D" w:rsidRDefault="00871E0D">
            <w:r>
              <w:t>Tunnel</w:t>
            </w:r>
          </w:p>
        </w:tc>
        <w:tc>
          <w:tcPr>
            <w:tcW w:w="0" w:type="auto"/>
          </w:tcPr>
          <w:p w:rsidR="00BC709D" w:rsidRDefault="00871E0D">
            <w:r>
              <w:t>wet</w:t>
            </w:r>
          </w:p>
        </w:tc>
        <w:tc>
          <w:tcPr>
            <w:tcW w:w="0" w:type="auto"/>
          </w:tcPr>
          <w:p w:rsidR="00BC709D" w:rsidRDefault="00871E0D">
            <w:pPr>
              <w:jc w:val="right"/>
            </w:pPr>
            <w:r>
              <w:t>3.6</w:t>
            </w:r>
          </w:p>
        </w:tc>
        <w:tc>
          <w:tcPr>
            <w:tcW w:w="0" w:type="auto"/>
          </w:tcPr>
          <w:p w:rsidR="00BC709D" w:rsidRDefault="00871E0D">
            <w:pPr>
              <w:jc w:val="right"/>
            </w:pPr>
            <w:r>
              <w:t>1.3</w:t>
            </w:r>
          </w:p>
        </w:tc>
        <w:tc>
          <w:tcPr>
            <w:tcW w:w="0" w:type="auto"/>
          </w:tcPr>
          <w:p w:rsidR="00BC709D" w:rsidRDefault="00871E0D">
            <w:pPr>
              <w:jc w:val="right"/>
            </w:pPr>
            <w:r>
              <w:t>35.6</w:t>
            </w:r>
          </w:p>
        </w:tc>
      </w:tr>
    </w:tbl>
    <w:p w:rsidR="00BC709D" w:rsidRDefault="00871E0D">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table%202-B-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C709D" w:rsidRDefault="00871E0D">
      <w:pPr>
        <w:pStyle w:val="Heading3"/>
      </w:pPr>
      <w:bookmarkStart w:id="8" w:name="plots-of-doc-proxy"/>
      <w:r>
        <w:t>Plots of DOC &amp; proxy</w:t>
      </w:r>
      <w:bookmarkEnd w:id="8"/>
    </w:p>
    <w:p w:rsidR="00BC709D" w:rsidRDefault="00871E0D">
      <w:r>
        <w:t>DOC was quantified as non-purgeable organic carbon (NPOC) on the Shimadzu TOC auto analyzer, and samples were also measured on a Spectrolyser spectrophotometer. A spectrophotometer can only measure the fraction of organic matter that is able to absorb UV o</w:t>
      </w:r>
      <w:r>
        <w:t>r Visible light, and therefore DOC measured on the Spectrolyser was a measure of CDOM and an indicator of aromaticity (molecular character).</w:t>
      </w:r>
    </w:p>
    <w:p w:rsidR="00BC709D" w:rsidRDefault="00871E0D">
      <w:r>
        <w:t>Figure 6 shows results from all samples comparing DOC concentrations (as NPOC, direct measure) to CDOM concentratio</w:t>
      </w:r>
      <w:r>
        <w:t>ns (UV-Vis, proxy measure of DOC). There was a strong seasonal separation of the relationship between these two measurements. These results indicate a seasonally-driven physiochemical difference in the aquatic NOM in this drinking water supply area.</w:t>
      </w:r>
    </w:p>
    <w:p w:rsidR="00BC709D" w:rsidRDefault="00871E0D">
      <w:r>
        <w:rPr>
          <w:noProof/>
        </w:rPr>
        <w:lastRenderedPageBreak/>
        <w:drawing>
          <wp:inline distT="0" distB="0" distL="0" distR="0">
            <wp:extent cx="5943600" cy="424542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DOC%20vs%20CDOM-1.png"/>
                    <pic:cNvPicPr>
                      <a:picLocks noChangeAspect="1" noChangeArrowheads="1"/>
                    </pic:cNvPicPr>
                  </pic:nvPicPr>
                  <pic:blipFill>
                    <a:blip r:embed="rId14"/>
                    <a:stretch>
                      <a:fillRect/>
                    </a:stretch>
                  </pic:blipFill>
                  <pic:spPr bwMode="auto">
                    <a:xfrm>
                      <a:off x="0" y="0"/>
                      <a:ext cx="5943600" cy="4245428"/>
                    </a:xfrm>
                    <a:prstGeom prst="rect">
                      <a:avLst/>
                    </a:prstGeom>
                    <a:noFill/>
                    <a:ln w="9525">
                      <a:noFill/>
                      <a:headEnd/>
                      <a:tailEnd/>
                    </a:ln>
                  </pic:spPr>
                </pic:pic>
              </a:graphicData>
            </a:graphic>
          </wp:inline>
        </w:drawing>
      </w:r>
    </w:p>
    <w:p w:rsidR="00BC709D" w:rsidRDefault="00871E0D">
      <w:r>
        <w:t>Figure 7 shows the same DOC-CDOM comparison from Figure 6, isolated to the six sub-basin monitoring sites. The seasonal relationship appears similar for the six sites.</w:t>
      </w:r>
    </w:p>
    <w:p w:rsidR="00BC709D" w:rsidRDefault="00871E0D">
      <w:r>
        <w:rPr>
          <w:noProof/>
        </w:rPr>
        <w:lastRenderedPageBreak/>
        <w:drawing>
          <wp:inline distT="0" distB="0" distL="0" distR="0">
            <wp:extent cx="5943600" cy="4457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02_DataAnalysis-Visualization_Thesis-UBC-forWater-MSc_HMc_2020-01-31_files/figure-docx/DOC%20vs%20CDOM%20at%206%20sites-1.png"/>
                    <pic:cNvPicPr>
                      <a:picLocks noChangeAspect="1" noChangeArrowheads="1"/>
                    </pic:cNvPicPr>
                  </pic:nvPicPr>
                  <pic:blipFill>
                    <a:blip r:embed="rId15"/>
                    <a:stretch>
                      <a:fillRect/>
                    </a:stretch>
                  </pic:blipFill>
                  <pic:spPr bwMode="auto">
                    <a:xfrm>
                      <a:off x="0" y="0"/>
                      <a:ext cx="5943600" cy="4457700"/>
                    </a:xfrm>
                    <a:prstGeom prst="rect">
                      <a:avLst/>
                    </a:prstGeom>
                    <a:noFill/>
                    <a:ln w="9525">
                      <a:noFill/>
                      <a:headEnd/>
                      <a:tailEnd/>
                    </a:ln>
                  </pic:spPr>
                </pic:pic>
              </a:graphicData>
            </a:graphic>
          </wp:inline>
        </w:drawing>
      </w:r>
    </w:p>
    <w:p w:rsidR="00BC709D" w:rsidRDefault="00871E0D">
      <w:r>
        <w:t>In progress: analysis of spectral fingerprint data for slope ratio indices, which will</w:t>
      </w:r>
      <w:r>
        <w:t xml:space="preserve"> help to elucidate seasonal DOM character shifts.</w:t>
      </w:r>
    </w:p>
    <w:p w:rsidR="00BC709D" w:rsidRDefault="00871E0D">
      <w:pPr>
        <w:pStyle w:val="Heading1"/>
      </w:pPr>
      <w:bookmarkStart w:id="9" w:name="references"/>
      <w:r>
        <w:lastRenderedPageBreak/>
        <w:t>References</w:t>
      </w:r>
      <w:bookmarkEnd w:id="9"/>
    </w:p>
    <w:p w:rsidR="00BC709D" w:rsidRDefault="00871E0D">
      <w:pPr>
        <w:pStyle w:val="Bibliography"/>
      </w:pPr>
      <w:bookmarkStart w:id="10" w:name="ref-StdMet2000"/>
      <w:bookmarkStart w:id="11" w:name="refs"/>
      <w:r>
        <w:t xml:space="preserve">Eaton, A. D., Clesceri, L. S., Greenberg, A. E., Franson, M. A. H. 2000. “Total Organic Carbon (TOC) - 5310 A.” In </w:t>
      </w:r>
      <w:r>
        <w:rPr>
          <w:i/>
        </w:rPr>
        <w:t>Standard Methods for the Examination of Water and Wastewater</w:t>
      </w:r>
      <w:r>
        <w:t>, 6th ed., 19–20. Wa</w:t>
      </w:r>
      <w:r>
        <w:t xml:space="preserve">shington, DC: American Public Health Association. </w:t>
      </w:r>
      <w:hyperlink r:id="rId16">
        <w:r>
          <w:rPr>
            <w:rStyle w:val="Hyperlink"/>
          </w:rPr>
          <w:t>http://www.standardmethods.org/</w:t>
        </w:r>
      </w:hyperlink>
      <w:r>
        <w:t>.</w:t>
      </w:r>
    </w:p>
    <w:p w:rsidR="00BC709D" w:rsidRDefault="00871E0D">
      <w:pPr>
        <w:pStyle w:val="Bibliography"/>
      </w:pPr>
      <w:bookmarkStart w:id="12" w:name="ref-Helms2008"/>
      <w:bookmarkEnd w:id="10"/>
      <w:r>
        <w:t>Helms, John R, Avon Stubbins, Jason D Ritchie, Elizabeth C Minor, and Kenneth Mopper. 2008. “Absorption Spectral Slopes an</w:t>
      </w:r>
      <w:r>
        <w:t xml:space="preserve">d Slope Ratios as Indicators of Molecular Weight , Source , and Photobleaching of Chromophoric Dissolved Organic Matter Author ( s ): John R . Helms , Aron Stubbins , Jason D . Ritchie , Elizabeth C . Minor , David J . Kieber.” </w:t>
      </w:r>
      <w:r>
        <w:rPr>
          <w:i/>
        </w:rPr>
        <w:t>Limnology and Oceanography</w:t>
      </w:r>
      <w:r>
        <w:t xml:space="preserve"> 5</w:t>
      </w:r>
      <w:r>
        <w:t xml:space="preserve">3 (3): 955–69. </w:t>
      </w:r>
      <w:hyperlink r:id="rId17">
        <w:r>
          <w:rPr>
            <w:rStyle w:val="Hyperlink"/>
          </w:rPr>
          <w:t>https://www.jstor.org/stable/40058211</w:t>
        </w:r>
      </w:hyperlink>
      <w:r>
        <w:t>.</w:t>
      </w:r>
    </w:p>
    <w:p w:rsidR="00BC709D" w:rsidRDefault="00871E0D">
      <w:pPr>
        <w:pStyle w:val="Bibliography"/>
      </w:pPr>
      <w:bookmarkStart w:id="13" w:name="ref-Matilainen2011"/>
      <w:bookmarkEnd w:id="12"/>
      <w:r>
        <w:t>Matilainen, Anu, Egil T. Gjessing, Tanja Lahtinen, Leif Hed, Amit Bhatnagar, and Mika Sillanpää. 2011. “An overview of the methods used in the ch</w:t>
      </w:r>
      <w:r>
        <w:t xml:space="preserve">aracterisation of natural organic matter (NOM) in relation to drinking water treatment.” </w:t>
      </w:r>
      <w:r>
        <w:rPr>
          <w:i/>
        </w:rPr>
        <w:t>Chemosphere</w:t>
      </w:r>
      <w:r>
        <w:t xml:space="preserve"> 83 (11): 1431–42. </w:t>
      </w:r>
      <w:hyperlink r:id="rId18">
        <w:r>
          <w:rPr>
            <w:rStyle w:val="Hyperlink"/>
          </w:rPr>
          <w:t>https://doi.org/10.1016/j.chemosphere.2011.01.018</w:t>
        </w:r>
      </w:hyperlink>
      <w:r>
        <w:t>.</w:t>
      </w:r>
    </w:p>
    <w:p w:rsidR="00BC709D" w:rsidRDefault="00871E0D">
      <w:pPr>
        <w:pStyle w:val="Bibliography"/>
      </w:pPr>
      <w:bookmarkStart w:id="14" w:name="ref-Raymond2010"/>
      <w:bookmarkEnd w:id="13"/>
      <w:r>
        <w:t>Raymond, Peter A,</w:t>
      </w:r>
      <w:r>
        <w:t xml:space="preserve"> James E Saiers, Source Biogeochemistry, No September, Peter A Raymond, and James E Saiers. 2010. “Event controlled DOC export from forested watersheds.” </w:t>
      </w:r>
      <w:r>
        <w:rPr>
          <w:i/>
        </w:rPr>
        <w:t>Biogeochemistry</w:t>
      </w:r>
      <w:r>
        <w:t xml:space="preserve"> 100 (1): 197–209. </w:t>
      </w:r>
      <w:hyperlink r:id="rId19">
        <w:r>
          <w:rPr>
            <w:rStyle w:val="Hyperlink"/>
          </w:rPr>
          <w:t>https:/</w:t>
        </w:r>
        <w:r>
          <w:rPr>
            <w:rStyle w:val="Hyperlink"/>
          </w:rPr>
          <w:t>/doi.org/10.1007/sl0533-010-9416-7</w:t>
        </w:r>
      </w:hyperlink>
      <w:r>
        <w:t>.</w:t>
      </w:r>
    </w:p>
    <w:p w:rsidR="00BC709D" w:rsidRDefault="00871E0D">
      <w:pPr>
        <w:pStyle w:val="Bibliography"/>
      </w:pPr>
      <w:bookmarkStart w:id="15" w:name="ref-Raymond2016"/>
      <w:bookmarkEnd w:id="14"/>
      <w:r>
        <w:t xml:space="preserve">Raymond, Peter A, James E Saiers, William V Sobczak, and E James. 2016. “Hydrological and biogeochemical controls on watershed dissolved organic matter transport: pulse-shunt concept.” </w:t>
      </w:r>
      <w:r>
        <w:rPr>
          <w:i/>
        </w:rPr>
        <w:t>Ecology</w:t>
      </w:r>
      <w:r>
        <w:t xml:space="preserve"> 97 (1): 5–16. </w:t>
      </w:r>
      <w:hyperlink r:id="rId20">
        <w:r>
          <w:rPr>
            <w:rStyle w:val="Hyperlink"/>
          </w:rPr>
          <w:t>https://www.jstor.org/stable/24702986</w:t>
        </w:r>
      </w:hyperlink>
      <w:r>
        <w:t>.</w:t>
      </w:r>
    </w:p>
    <w:p w:rsidR="00BC709D" w:rsidRDefault="00871E0D">
      <w:pPr>
        <w:pStyle w:val="Bibliography"/>
      </w:pPr>
      <w:bookmarkStart w:id="16" w:name="ref-Yang2015"/>
      <w:bookmarkEnd w:id="15"/>
      <w:r>
        <w:t xml:space="preserve">Yang, Liyang, Jin Hur, Sonmin Lee, Soon Woong Chang, and Hyun Sang Shin. 2015. “Dynamics of dissolved organic matter during four storm events in two forest streams: source, </w:t>
      </w:r>
      <w:r>
        <w:t xml:space="preserve">export, and implications for harmful disinfection byproduct formation.” </w:t>
      </w:r>
      <w:r>
        <w:rPr>
          <w:i/>
        </w:rPr>
        <w:t>Environmental Science and Pollution Research</w:t>
      </w:r>
      <w:r>
        <w:t xml:space="preserve"> 22 (12): 9173–83. </w:t>
      </w:r>
      <w:hyperlink r:id="rId21">
        <w:r>
          <w:rPr>
            <w:rStyle w:val="Hyperlink"/>
          </w:rPr>
          <w:t>https://doi.org/10.1007/s11356-015-4078-6</w:t>
        </w:r>
      </w:hyperlink>
      <w:r>
        <w:t>.</w:t>
      </w:r>
      <w:bookmarkEnd w:id="11"/>
      <w:bookmarkEnd w:id="16"/>
    </w:p>
    <w:sectPr w:rsidR="00BC709D" w:rsidSect="00CC27DB">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E0D" w:rsidRDefault="00871E0D">
      <w:pPr>
        <w:spacing w:before="0" w:line="240" w:lineRule="auto"/>
      </w:pPr>
      <w:r>
        <w:separator/>
      </w:r>
    </w:p>
  </w:endnote>
  <w:endnote w:type="continuationSeparator" w:id="0">
    <w:p w:rsidR="00871E0D" w:rsidRDefault="00871E0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Segoe UI Semibold">
    <w:panose1 w:val="020B07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440469"/>
      <w:docPartObj>
        <w:docPartGallery w:val="Page Numbers (Bottom of Page)"/>
        <w:docPartUnique/>
      </w:docPartObj>
    </w:sdtPr>
    <w:sdtEndPr>
      <w:rPr>
        <w:noProof/>
      </w:rPr>
    </w:sdtEndPr>
    <w:sdtContent>
      <w:p w:rsidR="00CC27DB" w:rsidRDefault="00871E0D" w:rsidP="000E25D6">
        <w:pPr>
          <w:pStyle w:val="Footer"/>
        </w:pPr>
        <w:r>
          <w:fldChar w:fldCharType="begin"/>
        </w:r>
        <w:r>
          <w:instrText xml:space="preserve"> PAGE   \* MERGEFORMAT </w:instrText>
        </w:r>
        <w:r>
          <w:fldChar w:fldCharType="separate"/>
        </w:r>
        <w:r>
          <w:rPr>
            <w:noProof/>
          </w:rPr>
          <w:t>2</w:t>
        </w:r>
        <w:r>
          <w:rPr>
            <w:noProof/>
          </w:rPr>
          <w:fldChar w:fldCharType="end"/>
        </w:r>
      </w:p>
    </w:sdtContent>
  </w:sdt>
  <w:p w:rsidR="00CC27DB" w:rsidRDefault="00871E0D" w:rsidP="000E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E0D" w:rsidRDefault="00871E0D">
      <w:r>
        <w:separator/>
      </w:r>
    </w:p>
  </w:footnote>
  <w:footnote w:type="continuationSeparator" w:id="0">
    <w:p w:rsidR="00871E0D" w:rsidRDefault="00871E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0B7250D"/>
    <w:multiLevelType w:val="multilevel"/>
    <w:tmpl w:val="4E5C97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BCD0FA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E0C43B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6783D"/>
    <w:rsid w:val="00784D58"/>
    <w:rsid w:val="00871E0D"/>
    <w:rsid w:val="008D6863"/>
    <w:rsid w:val="00B86B75"/>
    <w:rsid w:val="00BC48D5"/>
    <w:rsid w:val="00BC709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338B99-6370-44D9-9222-0CE57516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4"/>
        <w:szCs w:val="24"/>
        <w:lang w:val="en-CA"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25D6"/>
    <w:pPr>
      <w:spacing w:before="240"/>
    </w:pPr>
    <w:rPr>
      <w:rFonts w:ascii="Ebrima" w:hAnsi="Ebrima"/>
    </w:rPr>
  </w:style>
  <w:style w:type="paragraph" w:styleId="Heading1">
    <w:name w:val="heading 1"/>
    <w:basedOn w:val="Normal"/>
    <w:next w:val="Normal"/>
    <w:link w:val="Heading1Char"/>
    <w:uiPriority w:val="9"/>
    <w:qFormat/>
    <w:rsid w:val="00CC27DB"/>
    <w:pPr>
      <w:keepNext/>
      <w:keepLines/>
      <w:pageBreakBefore/>
      <w:pBdr>
        <w:bottom w:val="single" w:sz="4" w:space="1" w:color="595959" w:themeColor="text1" w:themeTint="A6"/>
      </w:pBdr>
      <w:spacing w:after="240"/>
      <w:outlineLvl w:val="0"/>
    </w:pPr>
    <w:rPr>
      <w:rFonts w:ascii="Segoe UI Semibold" w:eastAsiaTheme="majorEastAsia" w:hAnsi="Segoe UI Semibold" w:cs="Segoe UI Semibold"/>
      <w:sz w:val="28"/>
      <w:szCs w:val="32"/>
    </w:rPr>
  </w:style>
  <w:style w:type="paragraph" w:styleId="Heading2">
    <w:name w:val="heading 2"/>
    <w:basedOn w:val="Normal"/>
    <w:next w:val="Normal"/>
    <w:link w:val="Heading2Char"/>
    <w:uiPriority w:val="9"/>
    <w:unhideWhenUsed/>
    <w:qFormat/>
    <w:rsid w:val="00CC27DB"/>
    <w:pPr>
      <w:keepNext/>
      <w:keepLines/>
      <w:spacing w:after="240"/>
      <w:outlineLvl w:val="1"/>
    </w:pPr>
    <w:rPr>
      <w:rFonts w:ascii="Segoe UI Semibold" w:eastAsiaTheme="majorEastAsia" w:hAnsi="Segoe UI Semibold" w:cs="Segoe UI Semibold"/>
      <w:sz w:val="26"/>
      <w:szCs w:val="26"/>
    </w:rPr>
  </w:style>
  <w:style w:type="paragraph" w:styleId="Heading3">
    <w:name w:val="heading 3"/>
    <w:basedOn w:val="Normal"/>
    <w:next w:val="Normal"/>
    <w:link w:val="Heading3Char"/>
    <w:uiPriority w:val="9"/>
    <w:unhideWhenUsed/>
    <w:qFormat/>
    <w:rsid w:val="00CC27DB"/>
    <w:pPr>
      <w:keepNext/>
      <w:keepLines/>
      <w:spacing w:before="40" w:after="240"/>
      <w:outlineLvl w:val="2"/>
    </w:pPr>
    <w:rPr>
      <w:rFonts w:ascii="Segoe UI" w:eastAsiaTheme="majorEastAsia" w:hAnsi="Segoe UI" w:cs="Segoe UI"/>
      <w:b/>
      <w:szCs w:val="28"/>
    </w:rPr>
  </w:style>
  <w:style w:type="paragraph" w:styleId="Heading4">
    <w:name w:val="heading 4"/>
    <w:basedOn w:val="Normal"/>
    <w:next w:val="Normal"/>
    <w:link w:val="Heading4Char"/>
    <w:uiPriority w:val="9"/>
    <w:unhideWhenUsed/>
    <w:qFormat/>
    <w:rsid w:val="002F4D37"/>
    <w:pPr>
      <w:keepNext/>
      <w:keepLines/>
      <w:outlineLvl w:val="3"/>
    </w:pPr>
    <w:rPr>
      <w:rFonts w:ascii="Segoe UI" w:eastAsiaTheme="majorEastAsia" w:hAnsi="Segoe UI" w:cs="Segoe UI"/>
      <w:b/>
      <w:i/>
      <w:iCs/>
      <w:szCs w:val="28"/>
    </w:rPr>
  </w:style>
  <w:style w:type="paragraph" w:styleId="Heading5">
    <w:name w:val="heading 5"/>
    <w:basedOn w:val="Heading4"/>
    <w:next w:val="Normal"/>
    <w:link w:val="Heading5Char"/>
    <w:uiPriority w:val="9"/>
    <w:unhideWhenUsed/>
    <w:qFormat/>
    <w:rsid w:val="007E4872"/>
    <w:pPr>
      <w:outlineLvl w:val="4"/>
    </w:pPr>
    <w:rPr>
      <w:rFonts w:ascii="Segoe UI Semibold" w:hAnsi="Segoe UI Semibold" w:cs="Segoe UI Semibold"/>
      <w:b w:val="0"/>
      <w:i w:val="0"/>
      <w:szCs w:val="24"/>
      <w:u w:val="single"/>
    </w:rPr>
  </w:style>
  <w:style w:type="paragraph" w:styleId="Heading6">
    <w:name w:val="heading 6"/>
    <w:basedOn w:val="Normal"/>
    <w:next w:val="Normal"/>
    <w:link w:val="Heading6Char"/>
    <w:uiPriority w:val="9"/>
    <w:unhideWhenUsed/>
    <w:qFormat/>
    <w:rsid w:val="007E4872"/>
    <w:pPr>
      <w:outlineLvl w:val="5"/>
    </w:pPr>
    <w:rPr>
      <w:rFonts w:ascii="Segoe UI Semibold" w:hAnsi="Segoe UI Semibold" w:cs="Segoe UI Semibo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7DB"/>
    <w:pPr>
      <w:spacing w:before="2040" w:after="48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CC27DB"/>
    <w:rPr>
      <w:rFonts w:ascii="Ebrima" w:eastAsiaTheme="majorEastAsia" w:hAnsi="Ebrima" w:cstheme="majorBidi"/>
      <w:spacing w:val="-10"/>
      <w:kern w:val="28"/>
      <w:sz w:val="40"/>
      <w:szCs w:val="56"/>
    </w:rPr>
  </w:style>
  <w:style w:type="paragraph" w:styleId="Subtitle">
    <w:name w:val="Subtitle"/>
    <w:basedOn w:val="Normal"/>
    <w:next w:val="Normal"/>
    <w:link w:val="SubtitleChar"/>
    <w:uiPriority w:val="11"/>
    <w:qFormat/>
    <w:rsid w:val="00CC27DB"/>
    <w:pPr>
      <w:numPr>
        <w:ilvl w:val="1"/>
      </w:numPr>
      <w:spacing w:after="960"/>
    </w:pPr>
    <w:rPr>
      <w:rFonts w:eastAsiaTheme="minorEastAsia" w:cstheme="minorBidi"/>
      <w:color w:val="5A5A5A" w:themeColor="text1" w:themeTint="A5"/>
      <w:spacing w:val="15"/>
      <w:sz w:val="28"/>
      <w:szCs w:val="22"/>
    </w:rPr>
  </w:style>
  <w:style w:type="character" w:customStyle="1" w:styleId="SubtitleChar">
    <w:name w:val="Subtitle Char"/>
    <w:basedOn w:val="DefaultParagraphFont"/>
    <w:link w:val="Subtitle"/>
    <w:uiPriority w:val="11"/>
    <w:rsid w:val="00CC27DB"/>
    <w:rPr>
      <w:rFonts w:ascii="Ebrima" w:eastAsiaTheme="minorEastAsia" w:hAnsi="Ebrima" w:cstheme="minorBidi"/>
      <w:color w:val="5A5A5A" w:themeColor="text1" w:themeTint="A5"/>
      <w:spacing w:val="15"/>
      <w:sz w:val="28"/>
      <w:szCs w:val="22"/>
    </w:rPr>
  </w:style>
  <w:style w:type="paragraph" w:styleId="Quote">
    <w:name w:val="Quote"/>
    <w:basedOn w:val="IntenseQuote"/>
    <w:next w:val="Normal"/>
    <w:link w:val="QuoteChar"/>
    <w:uiPriority w:val="29"/>
    <w:qFormat/>
    <w:rsid w:val="0068354C"/>
  </w:style>
  <w:style w:type="character" w:customStyle="1" w:styleId="QuoteChar">
    <w:name w:val="Quote Char"/>
    <w:basedOn w:val="DefaultParagraphFont"/>
    <w:link w:val="Quote"/>
    <w:uiPriority w:val="29"/>
    <w:rsid w:val="0068354C"/>
    <w:rPr>
      <w:rFonts w:ascii="Ebrima" w:hAnsi="Ebrima"/>
      <w:i/>
      <w:iCs/>
      <w:color w:val="0D0D0D" w:themeColor="text1" w:themeTint="F2"/>
    </w:rPr>
  </w:style>
  <w:style w:type="character" w:customStyle="1" w:styleId="Heading1Char">
    <w:name w:val="Heading 1 Char"/>
    <w:basedOn w:val="DefaultParagraphFont"/>
    <w:link w:val="Heading1"/>
    <w:uiPriority w:val="9"/>
    <w:rsid w:val="00CC27DB"/>
    <w:rPr>
      <w:rFonts w:ascii="Segoe UI Semibold" w:eastAsiaTheme="majorEastAsia" w:hAnsi="Segoe UI Semibold" w:cs="Segoe UI Semibold"/>
      <w:sz w:val="28"/>
      <w:szCs w:val="32"/>
    </w:rPr>
  </w:style>
  <w:style w:type="character" w:customStyle="1" w:styleId="Heading2Char">
    <w:name w:val="Heading 2 Char"/>
    <w:basedOn w:val="DefaultParagraphFont"/>
    <w:link w:val="Heading2"/>
    <w:uiPriority w:val="9"/>
    <w:rsid w:val="00CC27DB"/>
    <w:rPr>
      <w:rFonts w:ascii="Segoe UI Semibold" w:eastAsiaTheme="majorEastAsia" w:hAnsi="Segoe UI Semibold" w:cs="Segoe UI Semibold"/>
      <w:sz w:val="26"/>
      <w:szCs w:val="26"/>
    </w:rPr>
  </w:style>
  <w:style w:type="character" w:customStyle="1" w:styleId="Heading3Char">
    <w:name w:val="Heading 3 Char"/>
    <w:basedOn w:val="DefaultParagraphFont"/>
    <w:link w:val="Heading3"/>
    <w:uiPriority w:val="9"/>
    <w:rsid w:val="00CC27DB"/>
    <w:rPr>
      <w:rFonts w:ascii="Segoe UI" w:eastAsiaTheme="majorEastAsia" w:hAnsi="Segoe UI" w:cs="Segoe UI"/>
      <w:b/>
      <w:szCs w:val="28"/>
    </w:rPr>
  </w:style>
  <w:style w:type="character" w:customStyle="1" w:styleId="Heading4Char">
    <w:name w:val="Heading 4 Char"/>
    <w:basedOn w:val="DefaultParagraphFont"/>
    <w:link w:val="Heading4"/>
    <w:uiPriority w:val="9"/>
    <w:rsid w:val="002F4D37"/>
    <w:rPr>
      <w:rFonts w:ascii="Segoe UI" w:eastAsiaTheme="majorEastAsia" w:hAnsi="Segoe UI" w:cs="Segoe UI"/>
      <w:b/>
      <w:i/>
      <w:iCs/>
      <w:szCs w:val="28"/>
    </w:rPr>
  </w:style>
  <w:style w:type="paragraph" w:styleId="IntenseQuote">
    <w:name w:val="Intense Quote"/>
    <w:basedOn w:val="Normal"/>
    <w:next w:val="Normal"/>
    <w:link w:val="IntenseQuoteChar"/>
    <w:uiPriority w:val="30"/>
    <w:qFormat/>
    <w:rsid w:val="00273815"/>
    <w:pPr>
      <w:pBdr>
        <w:top w:val="single" w:sz="4" w:space="10" w:color="595959" w:themeColor="text1" w:themeTint="A6"/>
        <w:bottom w:val="single" w:sz="4" w:space="10" w:color="595959" w:themeColor="text1" w:themeTint="A6"/>
      </w:pBdr>
      <w:spacing w:before="360" w:after="360"/>
      <w:ind w:left="864" w:right="864"/>
      <w:jc w:val="center"/>
    </w:pPr>
    <w:rPr>
      <w:i/>
      <w:iCs/>
      <w:color w:val="0D0D0D" w:themeColor="text1" w:themeTint="F2"/>
    </w:rPr>
  </w:style>
  <w:style w:type="character" w:customStyle="1" w:styleId="IntenseQuoteChar">
    <w:name w:val="Intense Quote Char"/>
    <w:basedOn w:val="DefaultParagraphFont"/>
    <w:link w:val="IntenseQuote"/>
    <w:uiPriority w:val="30"/>
    <w:rsid w:val="00273815"/>
    <w:rPr>
      <w:rFonts w:ascii="Ebrima" w:hAnsi="Ebrima"/>
      <w:i/>
      <w:iCs/>
      <w:color w:val="0D0D0D" w:themeColor="text1" w:themeTint="F2"/>
    </w:rPr>
  </w:style>
  <w:style w:type="character" w:customStyle="1" w:styleId="Heading5Char">
    <w:name w:val="Heading 5 Char"/>
    <w:basedOn w:val="DefaultParagraphFont"/>
    <w:link w:val="Heading5"/>
    <w:uiPriority w:val="9"/>
    <w:rsid w:val="007E4872"/>
    <w:rPr>
      <w:rFonts w:ascii="Segoe UI Semibold" w:eastAsiaTheme="majorEastAsia" w:hAnsi="Segoe UI Semibold" w:cs="Segoe UI Semibold"/>
      <w:iCs/>
      <w:u w:val="single"/>
    </w:rPr>
  </w:style>
  <w:style w:type="paragraph" w:styleId="Header">
    <w:name w:val="header"/>
    <w:basedOn w:val="Normal"/>
    <w:link w:val="HeaderChar"/>
    <w:uiPriority w:val="99"/>
    <w:unhideWhenUsed/>
    <w:rsid w:val="003F4372"/>
    <w:pPr>
      <w:tabs>
        <w:tab w:val="center" w:pos="4680"/>
        <w:tab w:val="right" w:pos="9360"/>
      </w:tabs>
      <w:spacing w:line="240" w:lineRule="auto"/>
    </w:pPr>
  </w:style>
  <w:style w:type="character" w:customStyle="1" w:styleId="HeaderChar">
    <w:name w:val="Header Char"/>
    <w:basedOn w:val="DefaultParagraphFont"/>
    <w:link w:val="Header"/>
    <w:uiPriority w:val="99"/>
    <w:rsid w:val="003F4372"/>
    <w:rPr>
      <w:rFonts w:ascii="Ebrima" w:hAnsi="Ebrima"/>
    </w:rPr>
  </w:style>
  <w:style w:type="paragraph" w:styleId="Footer">
    <w:name w:val="footer"/>
    <w:basedOn w:val="Normal"/>
    <w:link w:val="FooterChar"/>
    <w:uiPriority w:val="99"/>
    <w:unhideWhenUsed/>
    <w:rsid w:val="003F4372"/>
    <w:pPr>
      <w:tabs>
        <w:tab w:val="center" w:pos="4680"/>
        <w:tab w:val="right" w:pos="9360"/>
      </w:tabs>
      <w:spacing w:line="240" w:lineRule="auto"/>
    </w:pPr>
  </w:style>
  <w:style w:type="character" w:customStyle="1" w:styleId="FooterChar">
    <w:name w:val="Footer Char"/>
    <w:basedOn w:val="DefaultParagraphFont"/>
    <w:link w:val="Footer"/>
    <w:uiPriority w:val="99"/>
    <w:rsid w:val="003F4372"/>
    <w:rPr>
      <w:rFonts w:ascii="Ebrima" w:hAnsi="Ebrima"/>
    </w:rPr>
  </w:style>
  <w:style w:type="character" w:customStyle="1" w:styleId="Heading6Char">
    <w:name w:val="Heading 6 Char"/>
    <w:basedOn w:val="DefaultParagraphFont"/>
    <w:link w:val="Heading6"/>
    <w:uiPriority w:val="9"/>
    <w:rsid w:val="007E4872"/>
    <w:rPr>
      <w:rFonts w:ascii="Segoe UI Semibold" w:hAnsi="Segoe UI Semibold" w:cs="Segoe UI Semibold"/>
    </w:rPr>
  </w:style>
  <w:style w:type="paragraph" w:styleId="TOC1">
    <w:name w:val="toc 1"/>
    <w:basedOn w:val="Normal"/>
    <w:next w:val="Normal"/>
    <w:autoRedefine/>
    <w:uiPriority w:val="39"/>
    <w:unhideWhenUsed/>
    <w:rsid w:val="00CC27DB"/>
    <w:pPr>
      <w:tabs>
        <w:tab w:val="right" w:leader="dot" w:pos="9350"/>
      </w:tabs>
      <w:spacing w:before="360"/>
    </w:pPr>
    <w:rPr>
      <w:rFonts w:ascii="Segoe UI" w:hAnsi="Segoe UI" w:cs="Segoe UI"/>
      <w:b/>
      <w:bCs/>
      <w:caps/>
      <w:noProof/>
    </w:rPr>
  </w:style>
  <w:style w:type="paragraph" w:styleId="TOC2">
    <w:name w:val="toc 2"/>
    <w:basedOn w:val="Normal"/>
    <w:next w:val="Normal"/>
    <w:autoRedefine/>
    <w:uiPriority w:val="39"/>
    <w:unhideWhenUsed/>
    <w:rsid w:val="00CC27DB"/>
    <w:pPr>
      <w:tabs>
        <w:tab w:val="right" w:leader="dot" w:pos="9350"/>
      </w:tabs>
    </w:pPr>
    <w:rPr>
      <w:rFonts w:ascii="Segoe UI" w:hAnsi="Segoe UI" w:cs="Segoe UI"/>
      <w:b/>
      <w:bCs/>
      <w:noProof/>
      <w:sz w:val="20"/>
      <w:szCs w:val="20"/>
    </w:rPr>
  </w:style>
  <w:style w:type="paragraph" w:styleId="TOC3">
    <w:name w:val="toc 3"/>
    <w:basedOn w:val="Normal"/>
    <w:next w:val="Normal"/>
    <w:autoRedefine/>
    <w:uiPriority w:val="39"/>
    <w:unhideWhenUsed/>
    <w:rsid w:val="00CC27DB"/>
    <w:pPr>
      <w:tabs>
        <w:tab w:val="right" w:leader="dot" w:pos="9350"/>
      </w:tabs>
      <w:ind w:left="240"/>
    </w:pPr>
    <w:rPr>
      <w:rFonts w:ascii="Segoe UI" w:hAnsi="Segoe UI" w:cs="Segoe UI"/>
      <w:noProof/>
      <w:sz w:val="20"/>
      <w:szCs w:val="20"/>
    </w:rPr>
  </w:style>
  <w:style w:type="paragraph" w:styleId="TOC4">
    <w:name w:val="toc 4"/>
    <w:basedOn w:val="Normal"/>
    <w:next w:val="Normal"/>
    <w:autoRedefine/>
    <w:uiPriority w:val="39"/>
    <w:unhideWhenUsed/>
    <w:rsid w:val="00CE7188"/>
    <w:pPr>
      <w:ind w:left="480"/>
    </w:pPr>
    <w:rPr>
      <w:rFonts w:asciiTheme="minorHAnsi" w:hAnsiTheme="minorHAnsi"/>
      <w:sz w:val="20"/>
      <w:szCs w:val="20"/>
    </w:rPr>
  </w:style>
  <w:style w:type="paragraph" w:styleId="TOC5">
    <w:name w:val="toc 5"/>
    <w:basedOn w:val="Normal"/>
    <w:next w:val="Normal"/>
    <w:autoRedefine/>
    <w:uiPriority w:val="39"/>
    <w:unhideWhenUsed/>
    <w:rsid w:val="00CE7188"/>
    <w:pPr>
      <w:ind w:left="720"/>
    </w:pPr>
    <w:rPr>
      <w:rFonts w:asciiTheme="minorHAnsi" w:hAnsiTheme="minorHAnsi"/>
      <w:sz w:val="20"/>
      <w:szCs w:val="20"/>
    </w:rPr>
  </w:style>
  <w:style w:type="paragraph" w:styleId="TOC6">
    <w:name w:val="toc 6"/>
    <w:basedOn w:val="Normal"/>
    <w:next w:val="Normal"/>
    <w:autoRedefine/>
    <w:uiPriority w:val="39"/>
    <w:unhideWhenUsed/>
    <w:rsid w:val="00CE7188"/>
    <w:pPr>
      <w:ind w:left="960"/>
    </w:pPr>
    <w:rPr>
      <w:rFonts w:asciiTheme="minorHAnsi" w:hAnsiTheme="minorHAnsi"/>
      <w:sz w:val="20"/>
      <w:szCs w:val="20"/>
    </w:rPr>
  </w:style>
  <w:style w:type="paragraph" w:styleId="TOC7">
    <w:name w:val="toc 7"/>
    <w:basedOn w:val="Normal"/>
    <w:next w:val="Normal"/>
    <w:autoRedefine/>
    <w:uiPriority w:val="39"/>
    <w:unhideWhenUsed/>
    <w:rsid w:val="00CE7188"/>
    <w:pPr>
      <w:ind w:left="1200"/>
    </w:pPr>
    <w:rPr>
      <w:rFonts w:asciiTheme="minorHAnsi" w:hAnsiTheme="minorHAnsi"/>
      <w:sz w:val="20"/>
      <w:szCs w:val="20"/>
    </w:rPr>
  </w:style>
  <w:style w:type="paragraph" w:styleId="TOC8">
    <w:name w:val="toc 8"/>
    <w:basedOn w:val="Normal"/>
    <w:next w:val="Normal"/>
    <w:autoRedefine/>
    <w:uiPriority w:val="39"/>
    <w:unhideWhenUsed/>
    <w:rsid w:val="00CE7188"/>
    <w:pPr>
      <w:ind w:left="1440"/>
    </w:pPr>
    <w:rPr>
      <w:rFonts w:asciiTheme="minorHAnsi" w:hAnsiTheme="minorHAnsi"/>
      <w:sz w:val="20"/>
      <w:szCs w:val="20"/>
    </w:rPr>
  </w:style>
  <w:style w:type="paragraph" w:styleId="TOC9">
    <w:name w:val="toc 9"/>
    <w:basedOn w:val="Normal"/>
    <w:next w:val="Normal"/>
    <w:autoRedefine/>
    <w:uiPriority w:val="39"/>
    <w:unhideWhenUsed/>
    <w:rsid w:val="00CE7188"/>
    <w:pPr>
      <w:ind w:left="1680"/>
    </w:pPr>
    <w:rPr>
      <w:rFonts w:asciiTheme="minorHAnsi" w:hAnsiTheme="minorHAnsi"/>
      <w:sz w:val="20"/>
      <w:szCs w:val="20"/>
    </w:rPr>
  </w:style>
  <w:style w:type="character" w:styleId="Hyperlink">
    <w:name w:val="Hyperlink"/>
    <w:basedOn w:val="DefaultParagraphFont"/>
    <w:uiPriority w:val="99"/>
    <w:unhideWhenUsed/>
    <w:rsid w:val="00CE7188"/>
    <w:rPr>
      <w:color w:val="0563C1" w:themeColor="hyperlink"/>
      <w:u w:val="single"/>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2D45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575"/>
    <w:rPr>
      <w:rFonts w:ascii="Segoe UI" w:hAnsi="Segoe UI" w:cs="Segoe UI"/>
      <w:sz w:val="18"/>
      <w:szCs w:val="18"/>
    </w:rPr>
  </w:style>
  <w:style w:type="paragraph" w:styleId="Bibliography">
    <w:name w:val="Bibliography"/>
    <w:basedOn w:val="Normal"/>
    <w:next w:val="Normal"/>
    <w:uiPriority w:val="37"/>
    <w:unhideWhenUsed/>
    <w:rsid w:val="00D3712C"/>
    <w:pPr>
      <w:ind w:left="720" w:hanging="720"/>
    </w:pPr>
    <w:rPr>
      <w:noProof/>
    </w:rPr>
  </w:style>
  <w:style w:type="character" w:styleId="SubtleEmphasis">
    <w:name w:val="Subtle Emphasis"/>
    <w:basedOn w:val="DefaultParagraphFont"/>
    <w:uiPriority w:val="19"/>
    <w:qFormat/>
    <w:rsid w:val="00CC27DB"/>
    <w:rPr>
      <w:i/>
      <w:iCs/>
      <w:color w:val="404040" w:themeColor="text1" w:themeTint="BF"/>
    </w:rPr>
  </w:style>
  <w:style w:type="paragraph" w:styleId="ListParagraph">
    <w:name w:val="List Paragraph"/>
    <w:basedOn w:val="Normal"/>
    <w:uiPriority w:val="34"/>
    <w:qFormat/>
    <w:rsid w:val="000E2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16/j.chemosphere.2011.01.018" TargetMode="External"/><Relationship Id="rId3" Type="http://schemas.openxmlformats.org/officeDocument/2006/relationships/settings" Target="settings.xml"/><Relationship Id="rId21" Type="http://schemas.openxmlformats.org/officeDocument/2006/relationships/hyperlink" Target="https://doi.org/10.1007/s11356-015-4078-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jstor.org/stable/40058211" TargetMode="External"/><Relationship Id="rId2" Type="http://schemas.openxmlformats.org/officeDocument/2006/relationships/styles" Target="styles.xml"/><Relationship Id="rId16" Type="http://schemas.openxmlformats.org/officeDocument/2006/relationships/hyperlink" Target="http://www.standardmethods.org/" TargetMode="External"/><Relationship Id="rId20" Type="http://schemas.openxmlformats.org/officeDocument/2006/relationships/hyperlink" Target="https://www.jstor.org/stable/247029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1007/sl0533-010-9416-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profiling hydrochemical dynamics in a rain-dominated water supply area: characterizing the Leech watershed using passive sampling techniques</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data analysis: thesis data analysis and visualization</dc:title>
  <dc:creator>Hannah J McSorley</dc:creator>
  <cp:keywords/>
  <cp:lastModifiedBy>Hannah McSorley</cp:lastModifiedBy>
  <cp:revision>2</cp:revision>
  <dcterms:created xsi:type="dcterms:W3CDTF">2020-02-01T06:13:00Z</dcterms:created>
  <dcterms:modified xsi:type="dcterms:W3CDTF">2020-02-01T06:13:00Z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date">
    <vt:lpwstr>2020-01-31</vt:lpwstr>
  </property>
  <property fmtid="{D5CDD505-2E9C-101B-9397-08002B2CF9AE}" pid="4" name="output">
    <vt:lpwstr/>
  </property>
  <property fmtid="{D5CDD505-2E9C-101B-9397-08002B2CF9AE}" pid="5" name="subtitle">
    <vt:lpwstr>Pacific Maritime forWater Masters Project (NSERC forWater)</vt:lpwstr>
  </property>
</Properties>
</file>