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0.png" ContentType="image/png"/>
  <Override PartName="/word/media/rId55.png" ContentType="image/png"/>
  <Override PartName="/word/media/rId54.png" ContentType="image/png"/>
  <Override PartName="/word/media/rId49.png" ContentType="image/png"/>
  <Override PartName="/word/media/rId48.png" ContentType="image/png"/>
  <Override PartName="/word/media/rId58.png" ContentType="image/png"/>
  <Override PartName="/word/media/rId53.png" ContentType="image/png"/>
  <Override PartName="/word/media/rId57.png" ContentType="image/png"/>
  <Override PartName="/word/media/rId51.png" ContentType="image/png"/>
  <Override PartName="/word/media/rId45.png" ContentType="image/png"/>
  <Override PartName="/word/media/rId46.png" ContentType="image/png"/>
  <Override PartName="/word/media/rId63.png" ContentType="image/png"/>
  <Override PartName="/word/media/rId30.png" ContentType="image/png"/>
  <Override PartName="/word/media/rId26.png" ContentType="image/png"/>
  <Override PartName="/word/media/rId25.png" ContentType="image/png"/>
  <Override PartName="/word/media/rId28.png" ContentType="image/png"/>
  <Override PartName="/word/media/rId37.png" ContentType="image/png"/>
  <Override PartName="/word/media/rId36.png" ContentType="image/png"/>
  <Override PartName="/word/media/rId39.png" ContentType="image/png"/>
  <Override PartName="/word/media/rId40.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Quantifying</w:t>
      </w:r>
      <w:r>
        <w:t xml:space="preserve"> </w:t>
      </w:r>
      <w:r>
        <w:t xml:space="preserve">synchrony</w:t>
      </w:r>
      <w:r>
        <w:t xml:space="preserve"> </w:t>
      </w:r>
      <w:r>
        <w:t xml:space="preserve">and</w:t>
      </w:r>
      <w:r>
        <w:t xml:space="preserve"> </w:t>
      </w:r>
      <w:r>
        <w:t xml:space="preserve">variability</w:t>
      </w:r>
      <w:r>
        <w:t xml:space="preserve"> </w:t>
      </w:r>
      <w:r>
        <w:t xml:space="preserve">in</w:t>
      </w:r>
      <w:r>
        <w:t xml:space="preserve"> </w:t>
      </w:r>
      <w:r>
        <w:t xml:space="preserve">source</w:t>
      </w:r>
      <w:r>
        <w:t xml:space="preserve"> </w:t>
      </w:r>
      <w:r>
        <w:t xml:space="preserve">water</w:t>
      </w:r>
      <w:r>
        <w:t xml:space="preserve"> </w:t>
      </w:r>
      <w:r>
        <w:t xml:space="preserve">quality</w:t>
      </w:r>
      <w:r>
        <w:t xml:space="preserve"> </w:t>
      </w:r>
      <w:r>
        <w:t xml:space="preserve">across</w:t>
      </w:r>
      <w:r>
        <w:t xml:space="preserve"> </w:t>
      </w:r>
      <w:r>
        <w:t xml:space="preserve">nested</w:t>
      </w:r>
      <w:r>
        <w:t xml:space="preserve"> </w:t>
      </w:r>
      <w:r>
        <w:t xml:space="preserve">catchments</w:t>
      </w:r>
      <w:r>
        <w:t xml:space="preserve"> </w:t>
      </w:r>
      <w:r>
        <w:t xml:space="preserve">of</w:t>
      </w:r>
      <w:r>
        <w:t xml:space="preserve"> </w:t>
      </w:r>
      <w:r>
        <w:t xml:space="preserve">a</w:t>
      </w:r>
      <w:r>
        <w:t xml:space="preserve"> </w:t>
      </w:r>
      <w:r>
        <w:t xml:space="preserve">protected</w:t>
      </w:r>
      <w:r>
        <w:t xml:space="preserve"> </w:t>
      </w:r>
      <w:r>
        <w:t xml:space="preserve">second</w:t>
      </w:r>
      <w:r>
        <w:t xml:space="preserve"> </w:t>
      </w:r>
      <w:r>
        <w:t xml:space="preserve">growth</w:t>
      </w:r>
      <w:r>
        <w:t xml:space="preserve"> </w:t>
      </w:r>
      <w:r>
        <w:t xml:space="preserve">forested</w:t>
      </w:r>
      <w:r>
        <w:t xml:space="preserve"> </w:t>
      </w:r>
      <w:r>
        <w:t xml:space="preserve">water</w:t>
      </w:r>
      <w:r>
        <w:t xml:space="preserve"> </w:t>
      </w:r>
      <w:r>
        <w:t xml:space="preserve">supply</w:t>
      </w:r>
      <w:r>
        <w:t xml:space="preserve"> </w:t>
      </w:r>
      <w:r>
        <w:t xml:space="preserve">area</w:t>
      </w:r>
    </w:p>
    <w:p>
      <w:pPr>
        <w:pStyle w:val="Author"/>
      </w:pPr>
      <w:r>
        <w:t xml:space="preserve">Hannah</w:t>
      </w:r>
      <w:r>
        <w:t xml:space="preserve"> </w:t>
      </w:r>
      <w:r>
        <w:t xml:space="preserve">J.</w:t>
      </w:r>
      <w:r>
        <w:t xml:space="preserve"> </w:t>
      </w:r>
      <w:r>
        <w:t xml:space="preserve">McSorley</w:t>
      </w:r>
    </w:p>
    <w:p>
      <w:pPr>
        <w:pStyle w:val="Date"/>
      </w:pPr>
      <w:r>
        <w:t xml:space="preserve">April</w:t>
      </w:r>
      <w:r>
        <w:t xml:space="preserve"> </w:t>
      </w:r>
      <w:r>
        <w:t xml:space="preserve">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abstract"/>
      <w:r>
        <w:t xml:space="preserve">Abstract</w:t>
      </w:r>
      <w:bookmarkEnd w:id="20"/>
    </w:p>
    <w:p>
      <w:pPr>
        <w:pStyle w:val="FirstParagraph"/>
      </w:pPr>
      <w:r>
        <w:t xml:space="preserve">Placeholder</w:t>
      </w:r>
    </w:p>
    <w:p>
      <w:pPr>
        <w:pStyle w:val="Heading2"/>
      </w:pPr>
      <w:bookmarkStart w:id="21" w:name="cgu-poster-abstract"/>
      <w:r>
        <w:t xml:space="preserve">CGU poster abstract</w:t>
      </w:r>
      <w:bookmarkEnd w:id="21"/>
    </w:p>
    <w:p>
      <w:pPr>
        <w:pStyle w:val="Heading1"/>
      </w:pPr>
      <w:bookmarkStart w:id="22" w:name="results"/>
      <w:r>
        <w:t xml:space="preserve">Results</w:t>
      </w:r>
      <w:bookmarkEnd w:id="22"/>
    </w:p>
    <w:p>
      <w:pPr>
        <w:pStyle w:val="FirstParagraph"/>
      </w:pPr>
      <w:r>
        <w:t xml:space="preserve">The primary objectives of this project was to characterize the range of hydrochemical dynamics and synchrony during rainfall response among sub-basins ranging in size from 9.6 to 37 km</w:t>
      </w:r>
      <w:r>
        <w:rPr>
          <w:vertAlign w:val="superscript"/>
        </w:rPr>
        <w:t xml:space="preserve">2</w:t>
      </w:r>
      <w:r>
        <w:t xml:space="preserve">. To understand spatial and temporal patterns in hydrochemical dynamics, this research was tackled in two key ways: (1) six sub-basin sites were equipped with vertical racks which logged river stage, air and water temperature at 10-minute intervals and passively collected whole water samples during stormflow on rising limbs of the hydrograph; and (2) fifteen sites, including the six sub-basin sites, were sampled synoptically every two to four weeks. Results of both the synoptic sampling and sub-basin monitoring were used to characterize the temporal and spatial range of DOC concentrations and DOM character. In addition to spatiotemporal dynamics, the sub-basin monitoring sites were used to evaluate hydrologic responses based on river rise (stream stage) and local precipitation. The vertical racks installed at the sub-basin sites enhanced the synoptic sampling program by collecting samples during rainfall-induced hydrologic surges – samples which would have been challenging and dangerous to collect manually at locations across the watershed. DOC concentration trends in stormflow were indicative of whether aqueous DOM was supply-limited or governed by hydrologic forcing. The data collected were used to elucidate spatiotemporal synchrony among sub-catchments.</w:t>
      </w:r>
    </w:p>
    <w:p>
      <w:pPr>
        <w:pStyle w:val="Heading2"/>
      </w:pPr>
      <w:bookmarkStart w:id="23" w:name="weather"/>
      <w:r>
        <w:t xml:space="preserve">Weather</w:t>
      </w:r>
      <w:bookmarkEnd w:id="23"/>
    </w:p>
    <w:p>
      <w:pPr>
        <w:pStyle w:val="Heading3"/>
      </w:pPr>
      <w:bookmarkStart w:id="24" w:name="crd-f-wx-stations"/>
      <w:r>
        <w:t xml:space="preserve">CRD F-Wx stations</w:t>
      </w:r>
      <w:bookmarkEnd w:id="24"/>
    </w:p>
    <w:p>
      <w:pPr>
        <w:pStyle w:val="FirstParagraph"/>
      </w:pPr>
      <w:r>
        <w:t xml:space="preserve">The Capital Regional District (CRD) provided data from two fire-weather stations they operate within the Leech water supply area (LWSA). Chris Creek weather station is located in the headwaters of the Leech watershed and Martin’s Gulch is located near the future point of diversion (Leech River Tunnel). Figure</w:t>
      </w:r>
      <w:r>
        <w:t xml:space="preserve"> </w:t>
      </w:r>
      <w:r>
        <w:t xml:space="preserve">1</w:t>
      </w:r>
      <w:r>
        <w:t xml:space="preserve"> </w:t>
      </w:r>
      <w:r>
        <w:t xml:space="preserve">shows precipitation and air temperatures at each station. Annual weather data from each of the LWSA weather stations are summarized in Table</w:t>
      </w:r>
      <w:r>
        <w:t xml:space="preserve"> </w:t>
      </w:r>
      <w:r>
        <w:t xml:space="preserve">1</w:t>
      </w:r>
      <w:r>
        <w:t xml:space="preserve">.</w:t>
      </w:r>
    </w:p>
    <w:p>
      <w:pPr>
        <w:pStyle w:val="CaptionedFigure"/>
      </w:pPr>
      <w:r>
        <w:drawing>
          <wp:inline>
            <wp:extent cx="5504749" cy="4587290"/>
            <wp:effectExtent b="0" l="0" r="0" t="0"/>
            <wp:docPr descr="Figure 1:  Weather from two stations in the Leech water supply area. Coloured sections of plots highlight the field study period of this project." title="" id="1" name="Picture"/>
            <a:graphic>
              <a:graphicData uri="http://schemas.openxmlformats.org/drawingml/2006/picture">
                <pic:pic>
                  <pic:nvPicPr>
                    <pic:cNvPr descr="R-outputs_UBC-forWater-MSc_HMc/figures/Wx_LWSA.png" id="0" name="Picture"/>
                    <pic:cNvPicPr>
                      <a:picLocks noChangeArrowheads="1" noChangeAspect="1"/>
                    </pic:cNvPicPr>
                  </pic:nvPicPr>
                  <pic:blipFill>
                    <a:blip r:embed="rId25"/>
                    <a:stretch>
                      <a:fillRect/>
                    </a:stretch>
                  </pic:blipFill>
                  <pic:spPr bwMode="auto">
                    <a:xfrm>
                      <a:off x="0" y="0"/>
                      <a:ext cx="5504749" cy="4587290"/>
                    </a:xfrm>
                    <a:prstGeom prst="rect">
                      <a:avLst/>
                    </a:prstGeom>
                    <a:noFill/>
                    <a:ln w="9525">
                      <a:noFill/>
                      <a:headEnd/>
                      <a:tailEnd/>
                    </a:ln>
                  </pic:spPr>
                </pic:pic>
              </a:graphicData>
            </a:graphic>
          </wp:inline>
        </w:drawing>
      </w:r>
    </w:p>
    <w:p>
      <w:pPr>
        <w:pStyle w:val="ImageCaption"/>
      </w:pPr>
      <w:r>
        <w:t xml:space="preserve">Figure 1:</w:t>
      </w:r>
      <w:r>
        <w:t xml:space="preserve"> </w:t>
      </w:r>
      <w:r>
        <w:t xml:space="preserve"> </w:t>
      </w:r>
      <w:r>
        <w:rPr>
          <w:i/>
        </w:rPr>
        <w:t xml:space="preserve">Weather from two stations in the Leech water supply area. Coloured sections of plots highlight the field study period of this project.</w:t>
      </w:r>
    </w:p>
    <w:p>
      <w:pPr>
        <w:pStyle w:val="BodyText"/>
      </w:pPr>
      <w:r>
        <w:br/>
      </w:r>
    </w:p>
    <w:p>
      <w:pPr>
        <w:pStyle w:val="TableCaption"/>
      </w:pPr>
      <w:r>
        <w:t xml:space="preserve">Table 1:</w:t>
      </w:r>
      <w:r>
        <w:t xml:space="preserve"> </w:t>
      </w:r>
      <w:r>
        <w:rPr>
          <w:i/>
        </w:rPr>
        <w:t xml:space="preserve">Two years of weather from CRD stations in Leech water supply area</w:t>
      </w:r>
    </w:p>
    <w:tbl>
      <w:tblPr>
        <w:tblStyle w:val="Table"/>
        <w:tblW w:type="pct" w:w="0.0"/>
        <w:tblLook w:firstRow="1"/>
        <w:tblCaption w:val="Table 1: Two years of weather from CRD stations in Leech water supply area"/>
      </w:tblPr>
      <w:tblGrid/>
      <w:tr>
        <w:trPr>
          <w:cnfStyle w:firstRow="1"/>
        </w:trPr>
        <w:tc>
          <w:tcPr>
            <w:tcBorders>
              <w:bottom w:val="single"/>
            </w:tcBorders>
            <w:vAlign w:val="bottom"/>
          </w:tcPr>
          <w:p>
            <w:pPr>
              <w:pStyle w:val="Compact"/>
              <w:jc w:val="right"/>
            </w:pPr>
            <w:r>
              <w:t xml:space="preserve">year</w:t>
            </w:r>
          </w:p>
        </w:tc>
        <w:tc>
          <w:tcPr>
            <w:tcBorders>
              <w:bottom w:val="single"/>
            </w:tcBorders>
            <w:vAlign w:val="bottom"/>
          </w:tcPr>
          <w:p>
            <w:pPr>
              <w:pStyle w:val="Compact"/>
              <w:jc w:val="left"/>
            </w:pPr>
            <w:r>
              <w:t xml:space="preserve">station name</w:t>
            </w:r>
          </w:p>
        </w:tc>
        <w:tc>
          <w:tcPr>
            <w:tcBorders>
              <w:bottom w:val="single"/>
            </w:tcBorders>
            <w:vAlign w:val="bottom"/>
          </w:tcPr>
          <w:p>
            <w:pPr>
              <w:pStyle w:val="Compact"/>
              <w:jc w:val="right"/>
            </w:pPr>
            <w:r>
              <w:t xml:space="preserve">annual precip. (mm)</w:t>
            </w:r>
          </w:p>
        </w:tc>
        <w:tc>
          <w:tcPr>
            <w:tcBorders>
              <w:bottom w:val="single"/>
            </w:tcBorders>
            <w:vAlign w:val="bottom"/>
          </w:tcPr>
          <w:p>
            <w:pPr>
              <w:pStyle w:val="Compact"/>
              <w:jc w:val="right"/>
            </w:pPr>
            <w:r>
              <w:t xml:space="preserve">max snow (m)</w:t>
            </w:r>
          </w:p>
        </w:tc>
        <w:tc>
          <w:tcPr>
            <w:tcBorders>
              <w:bottom w:val="single"/>
            </w:tcBorders>
            <w:vAlign w:val="bottom"/>
          </w:tcPr>
          <w:p>
            <w:pPr>
              <w:pStyle w:val="Compact"/>
              <w:jc w:val="right"/>
            </w:pPr>
            <w:r>
              <w:t xml:space="preserve">mean air temp. (°C)</w:t>
            </w:r>
          </w:p>
        </w:tc>
        <w:tc>
          <w:tcPr>
            <w:tcBorders>
              <w:bottom w:val="single"/>
            </w:tcBorders>
            <w:vAlign w:val="bottom"/>
          </w:tcPr>
          <w:p>
            <w:pPr>
              <w:pStyle w:val="Compact"/>
              <w:jc w:val="right"/>
            </w:pPr>
            <w:r>
              <w:t xml:space="preserve">stdev air temp. (± °C)</w:t>
            </w:r>
          </w:p>
        </w:tc>
        <w:tc>
          <w:tcPr>
            <w:tcBorders>
              <w:bottom w:val="single"/>
            </w:tcBorders>
            <w:vAlign w:val="bottom"/>
          </w:tcPr>
          <w:p>
            <w:pPr>
              <w:pStyle w:val="Compact"/>
              <w:jc w:val="right"/>
            </w:pPr>
            <w:r>
              <w:t xml:space="preserve">mean max. temp. (°C)</w:t>
            </w:r>
          </w:p>
        </w:tc>
        <w:tc>
          <w:tcPr>
            <w:tcBorders>
              <w:bottom w:val="single"/>
            </w:tcBorders>
            <w:vAlign w:val="bottom"/>
          </w:tcPr>
          <w:p>
            <w:pPr>
              <w:pStyle w:val="Compact"/>
              <w:jc w:val="right"/>
            </w:pPr>
            <w:r>
              <w:t xml:space="preserve">mean min. temp. (°C)</w:t>
            </w:r>
          </w:p>
        </w:tc>
      </w:tr>
      <w:tr>
        <w:tc>
          <w:p>
            <w:pPr>
              <w:pStyle w:val="Compact"/>
              <w:jc w:val="right"/>
            </w:pPr>
            <w:r>
              <w:t xml:space="preserve">2018</w:t>
            </w:r>
          </w:p>
        </w:tc>
        <w:tc>
          <w:p>
            <w:pPr>
              <w:pStyle w:val="Compact"/>
              <w:jc w:val="left"/>
            </w:pPr>
            <w:r>
              <w:t xml:space="preserve">FWx Chris Creek</w:t>
            </w:r>
          </w:p>
        </w:tc>
        <w:tc>
          <w:p>
            <w:pPr>
              <w:pStyle w:val="Compact"/>
              <w:jc w:val="right"/>
            </w:pPr>
            <w:r>
              <w:t xml:space="preserve">1967.83</w:t>
            </w:r>
          </w:p>
        </w:tc>
        <w:tc>
          <w:p>
            <w:pPr>
              <w:pStyle w:val="Compact"/>
              <w:jc w:val="right"/>
            </w:pPr>
            <w:r>
              <w:t xml:space="preserve">3.09</w:t>
            </w:r>
          </w:p>
        </w:tc>
        <w:tc>
          <w:p>
            <w:pPr>
              <w:pStyle w:val="Compact"/>
              <w:jc w:val="right"/>
            </w:pPr>
            <w:r>
              <w:t xml:space="preserve">8.1</w:t>
            </w:r>
          </w:p>
        </w:tc>
        <w:tc>
          <w:p>
            <w:pPr>
              <w:pStyle w:val="Compact"/>
              <w:jc w:val="right"/>
            </w:pPr>
            <w:r>
              <w:t xml:space="preserve">7.5</w:t>
            </w:r>
          </w:p>
        </w:tc>
        <w:tc>
          <w:p>
            <w:pPr>
              <w:pStyle w:val="Compact"/>
              <w:jc w:val="right"/>
            </w:pPr>
            <w:r>
              <w:t xml:space="preserve">-11.9</w:t>
            </w:r>
          </w:p>
        </w:tc>
        <w:tc>
          <w:p>
            <w:pPr>
              <w:pStyle w:val="Compact"/>
              <w:jc w:val="right"/>
            </w:pPr>
            <w:r>
              <w:t xml:space="preserve">34.8</w:t>
            </w:r>
          </w:p>
        </w:tc>
      </w:tr>
      <w:tr>
        <w:tc>
          <w:p>
            <w:pPr>
              <w:pStyle w:val="Compact"/>
              <w:jc w:val="right"/>
            </w:pPr>
            <w:r>
              <w:t xml:space="preserve">2018</w:t>
            </w:r>
          </w:p>
        </w:tc>
        <w:tc>
          <w:p>
            <w:pPr>
              <w:pStyle w:val="Compact"/>
              <w:jc w:val="left"/>
            </w:pPr>
            <w:r>
              <w:t xml:space="preserve">FWx Martins Gulch</w:t>
            </w:r>
          </w:p>
        </w:tc>
        <w:tc>
          <w:p>
            <w:pPr>
              <w:pStyle w:val="Compact"/>
              <w:jc w:val="right"/>
            </w:pPr>
            <w:r>
              <w:t xml:space="preserve">2042.35</w:t>
            </w:r>
          </w:p>
        </w:tc>
        <w:tc>
          <w:p>
            <w:pPr>
              <w:pStyle w:val="Compact"/>
              <w:jc w:val="right"/>
            </w:pPr>
            <w:r>
              <w:t xml:space="preserve">3.01</w:t>
            </w:r>
          </w:p>
        </w:tc>
        <w:tc>
          <w:p>
            <w:pPr>
              <w:pStyle w:val="Compact"/>
              <w:jc w:val="right"/>
            </w:pPr>
            <w:r>
              <w:t xml:space="preserve">8.9</w:t>
            </w:r>
          </w:p>
        </w:tc>
        <w:tc>
          <w:p>
            <w:pPr>
              <w:pStyle w:val="Compact"/>
              <w:jc w:val="right"/>
            </w:pPr>
            <w:r>
              <w:t xml:space="preserve">7.3</w:t>
            </w:r>
          </w:p>
        </w:tc>
        <w:tc>
          <w:p>
            <w:pPr>
              <w:pStyle w:val="Compact"/>
              <w:jc w:val="right"/>
            </w:pPr>
            <w:r>
              <w:t xml:space="preserve">-9.5</w:t>
            </w:r>
          </w:p>
        </w:tc>
        <w:tc>
          <w:p>
            <w:pPr>
              <w:pStyle w:val="Compact"/>
              <w:jc w:val="right"/>
            </w:pPr>
            <w:r>
              <w:t xml:space="preserve">32.9</w:t>
            </w:r>
          </w:p>
        </w:tc>
      </w:tr>
      <w:tr>
        <w:tc>
          <w:p>
            <w:pPr>
              <w:pStyle w:val="Compact"/>
              <w:jc w:val="right"/>
            </w:pPr>
            <w:r>
              <w:t xml:space="preserve">2019</w:t>
            </w:r>
          </w:p>
        </w:tc>
        <w:tc>
          <w:p>
            <w:pPr>
              <w:pStyle w:val="Compact"/>
              <w:jc w:val="left"/>
            </w:pPr>
            <w:r>
              <w:t xml:space="preserve">FWx Chris Creek</w:t>
            </w:r>
          </w:p>
        </w:tc>
        <w:tc>
          <w:p>
            <w:pPr>
              <w:pStyle w:val="Compact"/>
              <w:jc w:val="right"/>
            </w:pPr>
            <w:r>
              <w:t xml:space="preserve">1429.13</w:t>
            </w:r>
          </w:p>
        </w:tc>
        <w:tc>
          <w:p>
            <w:pPr>
              <w:pStyle w:val="Compact"/>
              <w:jc w:val="right"/>
            </w:pPr>
            <w:r>
              <w:t xml:space="preserve">3.09</w:t>
            </w:r>
          </w:p>
        </w:tc>
        <w:tc>
          <w:p>
            <w:pPr>
              <w:pStyle w:val="Compact"/>
              <w:jc w:val="right"/>
            </w:pPr>
            <w:r>
              <w:t xml:space="preserve">7.5</w:t>
            </w:r>
          </w:p>
        </w:tc>
        <w:tc>
          <w:p>
            <w:pPr>
              <w:pStyle w:val="Compact"/>
              <w:jc w:val="right"/>
            </w:pPr>
            <w:r>
              <w:t xml:space="preserve">7.2</w:t>
            </w:r>
          </w:p>
        </w:tc>
        <w:tc>
          <w:p>
            <w:pPr>
              <w:pStyle w:val="Compact"/>
              <w:jc w:val="right"/>
            </w:pPr>
            <w:r>
              <w:t xml:space="preserve">-13.7</w:t>
            </w:r>
          </w:p>
        </w:tc>
        <w:tc>
          <w:p>
            <w:pPr>
              <w:pStyle w:val="Compact"/>
              <w:jc w:val="right"/>
            </w:pPr>
            <w:r>
              <w:t xml:space="preserve">31.9</w:t>
            </w:r>
          </w:p>
        </w:tc>
      </w:tr>
      <w:tr>
        <w:tc>
          <w:p>
            <w:pPr>
              <w:pStyle w:val="Compact"/>
              <w:jc w:val="right"/>
            </w:pPr>
            <w:r>
              <w:t xml:space="preserve">2019</w:t>
            </w:r>
          </w:p>
        </w:tc>
        <w:tc>
          <w:p>
            <w:pPr>
              <w:pStyle w:val="Compact"/>
              <w:jc w:val="left"/>
            </w:pPr>
            <w:r>
              <w:t xml:space="preserve">FWx Martins Gulch</w:t>
            </w:r>
          </w:p>
        </w:tc>
        <w:tc>
          <w:p>
            <w:pPr>
              <w:pStyle w:val="Compact"/>
              <w:jc w:val="right"/>
            </w:pPr>
            <w:r>
              <w:t xml:space="preserve">1490.68</w:t>
            </w:r>
          </w:p>
        </w:tc>
        <w:tc>
          <w:p>
            <w:pPr>
              <w:pStyle w:val="Compact"/>
              <w:jc w:val="right"/>
            </w:pPr>
            <w:r>
              <w:t xml:space="preserve">3.01</w:t>
            </w:r>
          </w:p>
        </w:tc>
        <w:tc>
          <w:p>
            <w:pPr>
              <w:pStyle w:val="Compact"/>
              <w:jc w:val="right"/>
            </w:pPr>
            <w:r>
              <w:t xml:space="preserve">8.4</w:t>
            </w:r>
          </w:p>
        </w:tc>
        <w:tc>
          <w:p>
            <w:pPr>
              <w:pStyle w:val="Compact"/>
              <w:jc w:val="right"/>
            </w:pPr>
            <w:r>
              <w:t xml:space="preserve">6.9</w:t>
            </w:r>
          </w:p>
        </w:tc>
        <w:tc>
          <w:p>
            <w:pPr>
              <w:pStyle w:val="Compact"/>
              <w:jc w:val="right"/>
            </w:pPr>
            <w:r>
              <w:t xml:space="preserve">-12.7</w:t>
            </w:r>
          </w:p>
        </w:tc>
        <w:tc>
          <w:p>
            <w:pPr>
              <w:pStyle w:val="Compact"/>
              <w:jc w:val="right"/>
            </w:pPr>
            <w:r>
              <w:t xml:space="preserve">30.5</w:t>
            </w:r>
          </w:p>
        </w:tc>
      </w:tr>
    </w:tbl>
    <w:p>
      <w:pPr>
        <w:pStyle w:val="BodyText"/>
      </w:pPr>
      <w:r>
        <w:br/>
      </w:r>
    </w:p>
    <w:p>
      <w:pPr>
        <w:pStyle w:val="BodyText"/>
      </w:pPr>
      <w:r>
        <w:t xml:space="preserve">With two weather stations, there were insufficient data points to estimate sub-basin precipitation via Theissen polygons or isohyetal lines; therefore, arithmetic means were calculated based on data from Chris Creek and Martin’s Gulch stations. It was assumed that the arithmetic means of precipitation and temperatures were representative of conditions across the Leech watershed. Table</w:t>
      </w:r>
      <w:r>
        <w:t xml:space="preserve"> </w:t>
      </w:r>
      <w:r>
        <w:t xml:space="preserve">2</w:t>
      </w:r>
      <w:r>
        <w:t xml:space="preserve"> </w:t>
      </w:r>
      <w:r>
        <w:t xml:space="preserve">summarizes weather data by calender year. Figure</w:t>
      </w:r>
      <w:r>
        <w:t xml:space="preserve"> </w:t>
      </w:r>
      <w:r>
        <w:t xml:space="preserve">2</w:t>
      </w:r>
      <w:r>
        <w:t xml:space="preserve"> </w:t>
      </w:r>
      <w:r>
        <w:t xml:space="preserve">shows average precipitation and air temperature over 2018 and 2019 with the study period highlighted.</w:t>
      </w:r>
    </w:p>
    <w:p>
      <w:pPr>
        <w:pStyle w:val="BodyText"/>
      </w:pPr>
      <w:r>
        <w:br/>
      </w:r>
    </w:p>
    <w:p>
      <w:pPr>
        <w:pStyle w:val="TableCaption"/>
      </w:pPr>
      <w:r>
        <w:t xml:space="preserve">Table 2:</w:t>
      </w:r>
      <w:r>
        <w:t xml:space="preserve"> </w:t>
      </w:r>
      <w:r>
        <w:rPr>
          <w:i/>
        </w:rPr>
        <w:t xml:space="preserve">Average of weather data from CRD stations in Leech water supply area in 2018 and 2019</w:t>
      </w:r>
    </w:p>
    <w:tbl>
      <w:tblPr>
        <w:tblStyle w:val="Table"/>
        <w:tblW w:type="pct" w:w="0.0"/>
        <w:tblLook w:firstRow="1"/>
        <w:tblCaption w:val="Table 2: Average of weather data from CRD stations in Leech water supply area in 2018 and 2019"/>
      </w:tblPr>
      <w:tblGrid/>
      <w:tr>
        <w:trPr>
          <w:cnfStyle w:firstRow="1"/>
        </w:trPr>
        <w:tc>
          <w:tcPr>
            <w:tcBorders>
              <w:bottom w:val="single"/>
            </w:tcBorders>
            <w:vAlign w:val="bottom"/>
          </w:tcPr>
          <w:p>
            <w:pPr>
              <w:pStyle w:val="Compact"/>
              <w:jc w:val="right"/>
            </w:pPr>
            <w:r>
              <w:t xml:space="preserve">year</w:t>
            </w:r>
          </w:p>
        </w:tc>
        <w:tc>
          <w:tcPr>
            <w:tcBorders>
              <w:bottom w:val="single"/>
            </w:tcBorders>
            <w:vAlign w:val="bottom"/>
          </w:tcPr>
          <w:p>
            <w:pPr>
              <w:pStyle w:val="Compact"/>
              <w:jc w:val="right"/>
            </w:pPr>
            <w:r>
              <w:t xml:space="preserve">mean annual rain (mm)</w:t>
            </w:r>
          </w:p>
        </w:tc>
        <w:tc>
          <w:tcPr>
            <w:tcBorders>
              <w:bottom w:val="single"/>
            </w:tcBorders>
            <w:vAlign w:val="bottom"/>
          </w:tcPr>
          <w:p>
            <w:pPr>
              <w:pStyle w:val="Compact"/>
              <w:jc w:val="right"/>
            </w:pPr>
            <w:r>
              <w:t xml:space="preserve">stdev rain. (±mm)</w:t>
            </w:r>
          </w:p>
        </w:tc>
        <w:tc>
          <w:tcPr>
            <w:tcBorders>
              <w:bottom w:val="single"/>
            </w:tcBorders>
            <w:vAlign w:val="bottom"/>
          </w:tcPr>
          <w:p>
            <w:pPr>
              <w:pStyle w:val="Compact"/>
              <w:jc w:val="right"/>
            </w:pPr>
            <w:r>
              <w:t xml:space="preserve">mean snow accum. (m)</w:t>
            </w:r>
          </w:p>
        </w:tc>
        <w:tc>
          <w:tcPr>
            <w:tcBorders>
              <w:bottom w:val="single"/>
            </w:tcBorders>
            <w:vAlign w:val="bottom"/>
          </w:tcPr>
          <w:p>
            <w:pPr>
              <w:pStyle w:val="Compact"/>
              <w:jc w:val="right"/>
            </w:pPr>
            <w:r>
              <w:t xml:space="preserve">mean temp. (°C)</w:t>
            </w:r>
          </w:p>
        </w:tc>
        <w:tc>
          <w:tcPr>
            <w:tcBorders>
              <w:bottom w:val="single"/>
            </w:tcBorders>
            <w:vAlign w:val="bottom"/>
          </w:tcPr>
          <w:p>
            <w:pPr>
              <w:pStyle w:val="Compact"/>
              <w:jc w:val="right"/>
            </w:pPr>
            <w:r>
              <w:t xml:space="preserve">st.dev temp. (±°C)</w:t>
            </w:r>
          </w:p>
        </w:tc>
        <w:tc>
          <w:tcPr>
            <w:tcBorders>
              <w:bottom w:val="single"/>
            </w:tcBorders>
            <w:vAlign w:val="bottom"/>
          </w:tcPr>
          <w:p>
            <w:pPr>
              <w:pStyle w:val="Compact"/>
              <w:jc w:val="right"/>
            </w:pPr>
            <w:r>
              <w:t xml:space="preserve">min. temp. (°C)</w:t>
            </w:r>
          </w:p>
        </w:tc>
        <w:tc>
          <w:tcPr>
            <w:tcBorders>
              <w:bottom w:val="single"/>
            </w:tcBorders>
            <w:vAlign w:val="bottom"/>
          </w:tcPr>
          <w:p>
            <w:pPr>
              <w:pStyle w:val="Compact"/>
              <w:jc w:val="right"/>
            </w:pPr>
            <w:r>
              <w:t xml:space="preserve">max. temp. (°C)</w:t>
            </w:r>
          </w:p>
        </w:tc>
      </w:tr>
      <w:tr>
        <w:tc>
          <w:p>
            <w:pPr>
              <w:pStyle w:val="Compact"/>
              <w:jc w:val="right"/>
            </w:pPr>
            <w:r>
              <w:t xml:space="preserve">2018</w:t>
            </w:r>
          </w:p>
        </w:tc>
        <w:tc>
          <w:p>
            <w:pPr>
              <w:pStyle w:val="Compact"/>
              <w:jc w:val="right"/>
            </w:pPr>
            <w:r>
              <w:t xml:space="preserve">2005.1</w:t>
            </w:r>
          </w:p>
        </w:tc>
        <w:tc>
          <w:p>
            <w:pPr>
              <w:pStyle w:val="Compact"/>
              <w:jc w:val="right"/>
            </w:pPr>
            <w:r>
              <w:t xml:space="preserve">52.7</w:t>
            </w:r>
          </w:p>
        </w:tc>
        <w:tc>
          <w:p>
            <w:pPr>
              <w:pStyle w:val="Compact"/>
              <w:jc w:val="right"/>
            </w:pPr>
            <w:r>
              <w:t xml:space="preserve">3.05</w:t>
            </w:r>
          </w:p>
        </w:tc>
        <w:tc>
          <w:p>
            <w:pPr>
              <w:pStyle w:val="Compact"/>
              <w:jc w:val="right"/>
            </w:pPr>
            <w:r>
              <w:t xml:space="preserve">8.50</w:t>
            </w:r>
          </w:p>
        </w:tc>
        <w:tc>
          <w:p>
            <w:pPr>
              <w:pStyle w:val="Compact"/>
              <w:jc w:val="right"/>
            </w:pPr>
            <w:r>
              <w:t xml:space="preserve">0.59</w:t>
            </w:r>
          </w:p>
        </w:tc>
        <w:tc>
          <w:p>
            <w:pPr>
              <w:pStyle w:val="Compact"/>
              <w:jc w:val="right"/>
            </w:pPr>
            <w:r>
              <w:t xml:space="preserve">-10.7</w:t>
            </w:r>
          </w:p>
        </w:tc>
        <w:tc>
          <w:p>
            <w:pPr>
              <w:pStyle w:val="Compact"/>
              <w:jc w:val="right"/>
            </w:pPr>
            <w:r>
              <w:t xml:space="preserve">33.8</w:t>
            </w:r>
          </w:p>
        </w:tc>
      </w:tr>
      <w:tr>
        <w:tc>
          <w:p>
            <w:pPr>
              <w:pStyle w:val="Compact"/>
              <w:jc w:val="right"/>
            </w:pPr>
            <w:r>
              <w:t xml:space="preserve">2019</w:t>
            </w:r>
          </w:p>
        </w:tc>
        <w:tc>
          <w:p>
            <w:pPr>
              <w:pStyle w:val="Compact"/>
              <w:jc w:val="right"/>
            </w:pPr>
            <w:r>
              <w:t xml:space="preserve">1459.9</w:t>
            </w:r>
          </w:p>
        </w:tc>
        <w:tc>
          <w:p>
            <w:pPr>
              <w:pStyle w:val="Compact"/>
              <w:jc w:val="right"/>
            </w:pPr>
            <w:r>
              <w:t xml:space="preserve">43.5</w:t>
            </w:r>
          </w:p>
        </w:tc>
        <w:tc>
          <w:p>
            <w:pPr>
              <w:pStyle w:val="Compact"/>
              <w:jc w:val="right"/>
            </w:pPr>
            <w:r>
              <w:t xml:space="preserve">3.05</w:t>
            </w:r>
          </w:p>
        </w:tc>
        <w:tc>
          <w:p>
            <w:pPr>
              <w:pStyle w:val="Compact"/>
              <w:jc w:val="right"/>
            </w:pPr>
            <w:r>
              <w:t xml:space="preserve">7.94</w:t>
            </w:r>
          </w:p>
        </w:tc>
        <w:tc>
          <w:p>
            <w:pPr>
              <w:pStyle w:val="Compact"/>
              <w:jc w:val="right"/>
            </w:pPr>
            <w:r>
              <w:t xml:space="preserve">0.63</w:t>
            </w:r>
          </w:p>
        </w:tc>
        <w:tc>
          <w:p>
            <w:pPr>
              <w:pStyle w:val="Compact"/>
              <w:jc w:val="right"/>
            </w:pPr>
            <w:r>
              <w:t xml:space="preserve">-13.2</w:t>
            </w:r>
          </w:p>
        </w:tc>
        <w:tc>
          <w:p>
            <w:pPr>
              <w:pStyle w:val="Compact"/>
              <w:jc w:val="right"/>
            </w:pPr>
            <w:r>
              <w:t xml:space="preserve">31.2</w:t>
            </w:r>
          </w:p>
        </w:tc>
      </w:tr>
    </w:tbl>
    <w:p>
      <w:pPr>
        <w:pStyle w:val="BodyText"/>
      </w:pPr>
      <w:r>
        <w:t xml:space="preserve"> </w:t>
      </w:r>
    </w:p>
    <w:p>
      <w:pPr>
        <w:pStyle w:val="CaptionedFigure"/>
      </w:pPr>
      <w:r>
        <w:drawing>
          <wp:inline>
            <wp:extent cx="5504749" cy="4587290"/>
            <wp:effectExtent b="0" l="0" r="0" t="0"/>
            <wp:docPr descr="Figure 2:  Average weather from two stations in the Leech water supply area, where the highlighted section indicates the study period." title="" id="1" name="Picture"/>
            <a:graphic>
              <a:graphicData uri="http://schemas.openxmlformats.org/drawingml/2006/picture">
                <pic:pic>
                  <pic:nvPicPr>
                    <pic:cNvPr descr="R-outputs_UBC-forWater-MSc_HMc/figures/Wx_LWSA-means.png" id="0" name="Picture"/>
                    <pic:cNvPicPr>
                      <a:picLocks noChangeArrowheads="1" noChangeAspect="1"/>
                    </pic:cNvPicPr>
                  </pic:nvPicPr>
                  <pic:blipFill>
                    <a:blip r:embed="rId26"/>
                    <a:stretch>
                      <a:fillRect/>
                    </a:stretch>
                  </pic:blipFill>
                  <pic:spPr bwMode="auto">
                    <a:xfrm>
                      <a:off x="0" y="0"/>
                      <a:ext cx="5504749" cy="4587290"/>
                    </a:xfrm>
                    <a:prstGeom prst="rect">
                      <a:avLst/>
                    </a:prstGeom>
                    <a:noFill/>
                    <a:ln w="9525">
                      <a:noFill/>
                      <a:headEnd/>
                      <a:tailEnd/>
                    </a:ln>
                  </pic:spPr>
                </pic:pic>
              </a:graphicData>
            </a:graphic>
          </wp:inline>
        </w:drawing>
      </w:r>
    </w:p>
    <w:p>
      <w:pPr>
        <w:pStyle w:val="ImageCaption"/>
      </w:pPr>
      <w:r>
        <w:t xml:space="preserve">Figure 2:</w:t>
      </w:r>
      <w:r>
        <w:t xml:space="preserve"> </w:t>
      </w:r>
      <w:r>
        <w:t xml:space="preserve"> </w:t>
      </w:r>
      <w:r>
        <w:rPr>
          <w:i/>
        </w:rPr>
        <w:t xml:space="preserve">Average weather from two stations in the Leech water supply area, where the highlighted section indicates the study period.</w:t>
      </w:r>
    </w:p>
    <w:p>
      <w:pPr>
        <w:pStyle w:val="Heading4"/>
      </w:pPr>
      <w:bookmarkStart w:id="27" w:name="malahat-5-year-weather"/>
      <w:r>
        <w:t xml:space="preserve">Malahat 5 year weather</w:t>
      </w:r>
      <w:bookmarkEnd w:id="27"/>
    </w:p>
    <w:p>
      <w:pPr>
        <w:pStyle w:val="FirstParagraph"/>
      </w:pPr>
      <w:r>
        <w:t xml:space="preserve">The LWSA weather stations were recently installed and therefore data during the study period could not be compared to a record from previous years. A nearby weather station operated by the BC Ministry of Transportation and Infrastructure (Malahat, station ID 62091) had data available from late 2013 which was used to check if weather during the study period departed from previous year trends. Figure</w:t>
      </w:r>
      <w:r>
        <w:t xml:space="preserve"> </w:t>
      </w:r>
      <w:r>
        <w:t xml:space="preserve">3</w:t>
      </w:r>
      <w:r>
        <w:t xml:space="preserve"> </w:t>
      </w:r>
      <w:r>
        <w:t xml:space="preserve">shows Malahat weather data, which are summarized in Table</w:t>
      </w:r>
      <w:r>
        <w:t xml:space="preserve"> </w:t>
      </w:r>
      <w:r>
        <w:t xml:space="preserve">3</w:t>
      </w:r>
      <w:r>
        <w:t xml:space="preserve">.</w:t>
      </w:r>
    </w:p>
    <w:p>
      <w:pPr>
        <w:pStyle w:val="CaptionedFigure"/>
      </w:pPr>
      <w:r>
        <w:drawing>
          <wp:inline>
            <wp:extent cx="5715000" cy="3527777"/>
            <wp:effectExtent b="0" l="0" r="0" t="0"/>
            <wp:docPr descr="Figure 3:  Five year weather from nearby Malahat station." title="" id="1" name="Picture"/>
            <a:graphic>
              <a:graphicData uri="http://schemas.openxmlformats.org/drawingml/2006/picture">
                <pic:pic>
                  <pic:nvPicPr>
                    <pic:cNvPr descr="R-outputs_UBC-forWater-MSc_HMc/figures/Wx_Malahat.png" id="0" name="Picture"/>
                    <pic:cNvPicPr>
                      <a:picLocks noChangeArrowheads="1" noChangeAspect="1"/>
                    </pic:cNvPicPr>
                  </pic:nvPicPr>
                  <pic:blipFill>
                    <a:blip r:embed="rId28"/>
                    <a:stretch>
                      <a:fillRect/>
                    </a:stretch>
                  </pic:blipFill>
                  <pic:spPr bwMode="auto">
                    <a:xfrm>
                      <a:off x="0" y="0"/>
                      <a:ext cx="5715000" cy="3527777"/>
                    </a:xfrm>
                    <a:prstGeom prst="rect">
                      <a:avLst/>
                    </a:prstGeom>
                    <a:noFill/>
                    <a:ln w="9525">
                      <a:noFill/>
                      <a:headEnd/>
                      <a:tailEnd/>
                    </a:ln>
                  </pic:spPr>
                </pic:pic>
              </a:graphicData>
            </a:graphic>
          </wp:inline>
        </w:drawing>
      </w:r>
    </w:p>
    <w:p>
      <w:pPr>
        <w:pStyle w:val="ImageCaption"/>
      </w:pPr>
      <w:r>
        <w:t xml:space="preserve">Figure 3:</w:t>
      </w:r>
      <w:r>
        <w:t xml:space="preserve"> </w:t>
      </w:r>
      <w:r>
        <w:t xml:space="preserve"> </w:t>
      </w:r>
      <w:r>
        <w:rPr>
          <w:i/>
        </w:rPr>
        <w:t xml:space="preserve">Five year weather from nearby Malahat station.</w:t>
      </w:r>
    </w:p>
    <w:p>
      <w:pPr>
        <w:pStyle w:val="BodyText"/>
      </w:pPr>
      <w:r>
        <w:br/>
      </w:r>
    </w:p>
    <w:p>
      <w:pPr>
        <w:pStyle w:val="TableCaption"/>
      </w:pPr>
      <w:r>
        <w:t xml:space="preserve">Table 3:</w:t>
      </w:r>
      <w:r>
        <w:t xml:space="preserve"> </w:t>
      </w:r>
      <w:r>
        <w:rPr>
          <w:i/>
        </w:rPr>
        <w:t xml:space="preserve">Annual weather data from Malahat station</w:t>
      </w:r>
    </w:p>
    <w:tbl>
      <w:tblPr>
        <w:tblStyle w:val="Table"/>
        <w:tblW w:type="pct" w:w="0.0"/>
        <w:tblLook w:firstRow="1"/>
        <w:tblCaption w:val="Table 3: Annual weather data from Malahat station"/>
      </w:tblPr>
      <w:tblGrid/>
      <w:tr>
        <w:trPr>
          <w:cnfStyle w:firstRow="1"/>
        </w:trPr>
        <w:tc>
          <w:tcPr>
            <w:tcBorders>
              <w:bottom w:val="single"/>
            </w:tcBorders>
            <w:vAlign w:val="bottom"/>
          </w:tcPr>
          <w:p>
            <w:pPr>
              <w:pStyle w:val="Compact"/>
              <w:jc w:val="right"/>
            </w:pPr>
            <w:r>
              <w:t xml:space="preserve">year</w:t>
            </w:r>
          </w:p>
        </w:tc>
        <w:tc>
          <w:tcPr>
            <w:tcBorders>
              <w:bottom w:val="single"/>
            </w:tcBorders>
            <w:vAlign w:val="bottom"/>
          </w:tcPr>
          <w:p>
            <w:pPr>
              <w:pStyle w:val="Compact"/>
              <w:jc w:val="right"/>
            </w:pPr>
            <w:r>
              <w:t xml:space="preserve">annual precip. (mm)</w:t>
            </w:r>
          </w:p>
        </w:tc>
        <w:tc>
          <w:tcPr>
            <w:tcBorders>
              <w:bottom w:val="single"/>
            </w:tcBorders>
            <w:vAlign w:val="bottom"/>
          </w:tcPr>
          <w:p>
            <w:pPr>
              <w:pStyle w:val="Compact"/>
              <w:jc w:val="right"/>
            </w:pPr>
            <w:r>
              <w:t xml:space="preserve">mean air temp. (°C)</w:t>
            </w:r>
          </w:p>
        </w:tc>
        <w:tc>
          <w:tcPr>
            <w:tcBorders>
              <w:bottom w:val="single"/>
            </w:tcBorders>
            <w:vAlign w:val="bottom"/>
          </w:tcPr>
          <w:p>
            <w:pPr>
              <w:pStyle w:val="Compact"/>
              <w:jc w:val="right"/>
            </w:pPr>
            <w:r>
              <w:t xml:space="preserve">std.dev. (± °C)</w:t>
            </w:r>
          </w:p>
        </w:tc>
      </w:tr>
      <w:tr>
        <w:tc>
          <w:p>
            <w:pPr>
              <w:pStyle w:val="Compact"/>
              <w:jc w:val="right"/>
            </w:pPr>
            <w:r>
              <w:t xml:space="preserve">2014</w:t>
            </w:r>
          </w:p>
        </w:tc>
        <w:tc>
          <w:p>
            <w:pPr>
              <w:pStyle w:val="Compact"/>
              <w:jc w:val="right"/>
            </w:pPr>
            <w:r>
              <w:t xml:space="preserve">1260</w:t>
            </w:r>
          </w:p>
        </w:tc>
        <w:tc>
          <w:p>
            <w:pPr>
              <w:pStyle w:val="Compact"/>
              <w:jc w:val="right"/>
            </w:pPr>
            <w:r>
              <w:t xml:space="preserve">10.6</w:t>
            </w:r>
          </w:p>
        </w:tc>
        <w:tc>
          <w:p>
            <w:pPr>
              <w:pStyle w:val="Compact"/>
              <w:jc w:val="right"/>
            </w:pPr>
            <w:r>
              <w:t xml:space="preserve">6.7</w:t>
            </w:r>
          </w:p>
        </w:tc>
      </w:tr>
      <w:tr>
        <w:tc>
          <w:p>
            <w:pPr>
              <w:pStyle w:val="Compact"/>
              <w:jc w:val="right"/>
            </w:pPr>
            <w:r>
              <w:t xml:space="preserve">2015</w:t>
            </w:r>
          </w:p>
        </w:tc>
        <w:tc>
          <w:p>
            <w:pPr>
              <w:pStyle w:val="Compact"/>
              <w:jc w:val="right"/>
            </w:pPr>
            <w:r>
              <w:t xml:space="preserve">1281</w:t>
            </w:r>
          </w:p>
        </w:tc>
        <w:tc>
          <w:p>
            <w:pPr>
              <w:pStyle w:val="Compact"/>
              <w:jc w:val="right"/>
            </w:pPr>
            <w:r>
              <w:t xml:space="preserve">11.3</w:t>
            </w:r>
          </w:p>
        </w:tc>
        <w:tc>
          <w:p>
            <w:pPr>
              <w:pStyle w:val="Compact"/>
              <w:jc w:val="right"/>
            </w:pPr>
            <w:r>
              <w:t xml:space="preserve">6.3</w:t>
            </w:r>
          </w:p>
        </w:tc>
      </w:tr>
      <w:tr>
        <w:tc>
          <w:p>
            <w:pPr>
              <w:pStyle w:val="Compact"/>
              <w:jc w:val="right"/>
            </w:pPr>
            <w:r>
              <w:t xml:space="preserve">2016</w:t>
            </w:r>
          </w:p>
        </w:tc>
        <w:tc>
          <w:p>
            <w:pPr>
              <w:pStyle w:val="Compact"/>
              <w:jc w:val="right"/>
            </w:pPr>
            <w:r>
              <w:t xml:space="preserve">1526</w:t>
            </w:r>
          </w:p>
        </w:tc>
        <w:tc>
          <w:p>
            <w:pPr>
              <w:pStyle w:val="Compact"/>
              <w:jc w:val="right"/>
            </w:pPr>
            <w:r>
              <w:t xml:space="preserve">10.6</w:t>
            </w:r>
          </w:p>
        </w:tc>
        <w:tc>
          <w:p>
            <w:pPr>
              <w:pStyle w:val="Compact"/>
              <w:jc w:val="right"/>
            </w:pPr>
            <w:r>
              <w:t xml:space="preserve">6.2</w:t>
            </w:r>
          </w:p>
        </w:tc>
      </w:tr>
      <w:tr>
        <w:tc>
          <w:p>
            <w:pPr>
              <w:pStyle w:val="Compact"/>
              <w:jc w:val="right"/>
            </w:pPr>
            <w:r>
              <w:t xml:space="preserve">2017</w:t>
            </w:r>
          </w:p>
        </w:tc>
        <w:tc>
          <w:p>
            <w:pPr>
              <w:pStyle w:val="Compact"/>
              <w:jc w:val="right"/>
            </w:pPr>
            <w:r>
              <w:t xml:space="preserve">1331</w:t>
            </w:r>
          </w:p>
        </w:tc>
        <w:tc>
          <w:p>
            <w:pPr>
              <w:pStyle w:val="Compact"/>
              <w:jc w:val="right"/>
            </w:pPr>
            <w:r>
              <w:t xml:space="preserve">10.5</w:t>
            </w:r>
          </w:p>
        </w:tc>
        <w:tc>
          <w:p>
            <w:pPr>
              <w:pStyle w:val="Compact"/>
              <w:jc w:val="right"/>
            </w:pPr>
            <w:r>
              <w:t xml:space="preserve">7.1</w:t>
            </w:r>
          </w:p>
        </w:tc>
      </w:tr>
      <w:tr>
        <w:tc>
          <w:p>
            <w:pPr>
              <w:pStyle w:val="Compact"/>
              <w:jc w:val="right"/>
            </w:pPr>
            <w:r>
              <w:t xml:space="preserve">2018</w:t>
            </w:r>
          </w:p>
        </w:tc>
        <w:tc>
          <w:p>
            <w:pPr>
              <w:pStyle w:val="Compact"/>
              <w:jc w:val="right"/>
            </w:pPr>
            <w:r>
              <w:t xml:space="preserve">1636</w:t>
            </w:r>
          </w:p>
        </w:tc>
        <w:tc>
          <w:p>
            <w:pPr>
              <w:pStyle w:val="Compact"/>
              <w:jc w:val="right"/>
            </w:pPr>
            <w:r>
              <w:t xml:space="preserve">10.6</w:t>
            </w:r>
          </w:p>
        </w:tc>
        <w:tc>
          <w:p>
            <w:pPr>
              <w:pStyle w:val="Compact"/>
              <w:jc w:val="right"/>
            </w:pPr>
            <w:r>
              <w:t xml:space="preserve">6.6</w:t>
            </w:r>
          </w:p>
        </w:tc>
      </w:tr>
      <w:tr>
        <w:tc>
          <w:p>
            <w:pPr>
              <w:pStyle w:val="Compact"/>
              <w:jc w:val="right"/>
            </w:pPr>
            <w:r>
              <w:t xml:space="preserve">2019</w:t>
            </w:r>
          </w:p>
        </w:tc>
        <w:tc>
          <w:p>
            <w:pPr>
              <w:pStyle w:val="Compact"/>
              <w:jc w:val="right"/>
            </w:pPr>
            <w:r>
              <w:t xml:space="preserve">1494</w:t>
            </w:r>
          </w:p>
        </w:tc>
        <w:tc>
          <w:p>
            <w:pPr>
              <w:pStyle w:val="Compact"/>
              <w:jc w:val="right"/>
            </w:pPr>
            <w:r>
              <w:t xml:space="preserve">10.1</w:t>
            </w:r>
          </w:p>
        </w:tc>
        <w:tc>
          <w:p>
            <w:pPr>
              <w:pStyle w:val="Compact"/>
              <w:jc w:val="right"/>
            </w:pPr>
            <w:r>
              <w:t xml:space="preserve">6.3</w:t>
            </w:r>
          </w:p>
        </w:tc>
      </w:tr>
    </w:tbl>
    <w:p>
      <w:pPr>
        <w:pStyle w:val="Heading3"/>
      </w:pPr>
      <w:bookmarkStart w:id="29" w:name="leech-river-responses"/>
      <w:r>
        <w:t xml:space="preserve">Leech River responses</w:t>
      </w:r>
      <w:bookmarkEnd w:id="29"/>
    </w:p>
    <w:p>
      <w:pPr>
        <w:pStyle w:val="FirstParagraph"/>
      </w:pPr>
      <w:r>
        <w:t xml:space="preserve">River stage was continuously recorded at six locations across the LWSA. Figure</w:t>
      </w:r>
      <w:r>
        <w:t xml:space="preserve"> </w:t>
      </w:r>
      <w:r>
        <w:t xml:space="preserve">4</w:t>
      </w:r>
      <w:r>
        <w:t xml:space="preserve"> </w:t>
      </w:r>
      <w:r>
        <w:t xml:space="preserve">shows weather and stream response over the study period.</w:t>
      </w:r>
    </w:p>
    <w:p>
      <w:pPr>
        <w:pStyle w:val="CaptionedFigure"/>
      </w:pPr>
      <w:r>
        <w:drawing>
          <wp:inline>
            <wp:extent cx="5715000" cy="7395882"/>
            <wp:effectExtent b="0" l="0" r="0" t="0"/>
            <wp:docPr descr="Figure 4:  Weather and stream rise response at six locations across the Leech water supply area." title="" id="1" name="Picture"/>
            <a:graphic>
              <a:graphicData uri="http://schemas.openxmlformats.org/drawingml/2006/picture">
                <pic:pic>
                  <pic:nvPicPr>
                    <pic:cNvPr descr="R-outputs_UBC-forWater-MSc_HMc/figures/Wx-stage_subbasins_megaplot.png" id="0" name="Picture"/>
                    <pic:cNvPicPr>
                      <a:picLocks noChangeArrowheads="1" noChangeAspect="1"/>
                    </pic:cNvPicPr>
                  </pic:nvPicPr>
                  <pic:blipFill>
                    <a:blip r:embed="rId30"/>
                    <a:stretch>
                      <a:fillRect/>
                    </a:stretch>
                  </pic:blipFill>
                  <pic:spPr bwMode="auto">
                    <a:xfrm>
                      <a:off x="0" y="0"/>
                      <a:ext cx="5715000" cy="7395882"/>
                    </a:xfrm>
                    <a:prstGeom prst="rect">
                      <a:avLst/>
                    </a:prstGeom>
                    <a:noFill/>
                    <a:ln w="9525">
                      <a:noFill/>
                      <a:headEnd/>
                      <a:tailEnd/>
                    </a:ln>
                  </pic:spPr>
                </pic:pic>
              </a:graphicData>
            </a:graphic>
          </wp:inline>
        </w:drawing>
      </w:r>
    </w:p>
    <w:p>
      <w:pPr>
        <w:pStyle w:val="ImageCaption"/>
      </w:pPr>
      <w:r>
        <w:t xml:space="preserve">Figure 4:</w:t>
      </w:r>
      <w:r>
        <w:t xml:space="preserve"> </w:t>
      </w:r>
      <w:r>
        <w:t xml:space="preserve"> </w:t>
      </w:r>
      <w:r>
        <w:rPr>
          <w:i/>
        </w:rPr>
        <w:t xml:space="preserve">Weather and stream rise response at six locations across the Leech water supply area.</w:t>
      </w:r>
    </w:p>
    <w:p>
      <w:pPr>
        <w:pStyle w:val="Heading4"/>
      </w:pPr>
      <w:bookmarkStart w:id="31" w:name="Xb73f9dc8b60142c2d1da809aa74e5b839f8c74f"/>
      <w:r>
        <w:t xml:space="preserve">Connectivity / synchronisity among subbasins</w:t>
      </w:r>
      <w:bookmarkEnd w:id="31"/>
    </w:p>
    <w:p>
      <w:pPr>
        <w:pStyle w:val="Compact"/>
        <w:numPr>
          <w:numId w:val="1001"/>
          <w:ilvl w:val="0"/>
        </w:numPr>
      </w:pPr>
      <w:r>
        <w:t xml:space="preserve">plot and summary table</w:t>
      </w:r>
    </w:p>
    <w:p>
      <w:pPr>
        <w:pStyle w:val="Heading3"/>
      </w:pPr>
      <w:bookmarkStart w:id="32" w:name="rain-events"/>
      <w:r>
        <w:t xml:space="preserve">Rain events</w:t>
      </w:r>
      <w:bookmarkEnd w:id="32"/>
    </w:p>
    <w:p>
      <w:pPr>
        <w:pStyle w:val="FirstParagraph"/>
      </w:pPr>
      <w:r>
        <w:t xml:space="preserve">Rain events were defined using the USGS Rainmaker package in R with 15-minute rain measurements. Major events were defined by cumulative precipitation in excess of 50 mm, and separated by a period of 14 hours between events.</w:t>
      </w:r>
    </w:p>
    <w:p>
      <w:pPr>
        <w:pStyle w:val="Compact"/>
        <w:numPr>
          <w:numId w:val="1002"/>
          <w:ilvl w:val="0"/>
        </w:numPr>
      </w:pPr>
      <w:r>
        <w:t xml:space="preserve">plot and summary table</w:t>
      </w:r>
    </w:p>
    <w:p>
      <w:pPr>
        <w:pStyle w:val="Heading2"/>
      </w:pPr>
      <w:bookmarkStart w:id="33" w:name="river-samples-for-doc-analysis"/>
      <w:r>
        <w:t xml:space="preserve">River samples for DOC analysis</w:t>
      </w:r>
      <w:bookmarkEnd w:id="33"/>
    </w:p>
    <w:p>
      <w:pPr>
        <w:pStyle w:val="FirstParagraph"/>
      </w:pPr>
      <w:r>
        <w:t xml:space="preserve">Sixteen months of bi-weekly field work was completed with the goals of contributing to the characterization of the Leech Water Supply Area (LWSA) while furthering our understanding of the variability of dissolved organic matter (DOM) dynamics in hydrologic response across a second growth forested watershed. From November 2018 to February 2020, 445 samples (Table</w:t>
      </w:r>
      <w:r>
        <w:t xml:space="preserve"> </w:t>
      </w:r>
      <w:r>
        <w:t xml:space="preserve">4</w:t>
      </w:r>
      <w:r>
        <w:t xml:space="preserve">) were collected and analyzed at UBC for DOC concentration and DOM character via high temperature combustion and UV-Vis spectroscopy (respectively). In addition, two sets of replicate samples from four sites were sent to _for_Water partners at the University of Waterloo for source water analyses of drinking water treatability metrics; and an additional 42 samples were collected on behalf of the CRD for analysis of a suite of total metals at an external laboratory.</w:t>
      </w:r>
    </w:p>
    <w:p>
      <w:pPr>
        <w:pStyle w:val="BodyText"/>
      </w:pPr>
      <w:r>
        <w:br/>
      </w:r>
    </w:p>
    <w:p>
      <w:pPr>
        <w:pStyle w:val="TableCaption"/>
      </w:pPr>
      <w:r>
        <w:t xml:space="preserve">Table 4:</w:t>
      </w:r>
      <w:r>
        <w:t xml:space="preserve"> </w:t>
      </w:r>
      <w:r>
        <w:rPr>
          <w:i/>
        </w:rPr>
        <w:t xml:space="preserve">Summary of samples collected</w:t>
      </w:r>
    </w:p>
    <w:tbl>
      <w:tblPr>
        <w:tblStyle w:val="Table"/>
        <w:tblW w:type="pct" w:w="0.0"/>
        <w:tblLook w:firstRow="1"/>
        <w:tblCaption w:val="Table 4: Summary of samples collected"/>
      </w:tblPr>
      <w:tblGrid/>
      <w:tr>
        <w:trPr>
          <w:cnfStyle w:firstRow="1"/>
        </w:trPr>
        <w:tc>
          <w:tcPr>
            <w:tcBorders>
              <w:bottom w:val="single"/>
            </w:tcBorders>
            <w:vAlign w:val="bottom"/>
          </w:tcPr>
          <w:p>
            <w:pPr>
              <w:pStyle w:val="Compact"/>
              <w:jc w:val="left"/>
            </w:pPr>
            <w:r>
              <w:t xml:space="preserve">sample category</w:t>
            </w:r>
          </w:p>
        </w:tc>
        <w:tc>
          <w:tcPr>
            <w:tcBorders>
              <w:bottom w:val="single"/>
            </w:tcBorders>
            <w:vAlign w:val="bottom"/>
          </w:tcPr>
          <w:p>
            <w:pPr>
              <w:pStyle w:val="Compact"/>
              <w:jc w:val="right"/>
            </w:pPr>
            <w:r>
              <w:t xml:space="preserve">count</w:t>
            </w:r>
          </w:p>
        </w:tc>
      </w:tr>
      <w:tr>
        <w:tc>
          <w:p>
            <w:pPr>
              <w:pStyle w:val="Compact"/>
              <w:jc w:val="left"/>
            </w:pPr>
            <w:r>
              <w:t xml:space="preserve">synoptic samples outside of subbasin sites</w:t>
            </w:r>
          </w:p>
        </w:tc>
        <w:tc>
          <w:p>
            <w:pPr>
              <w:pStyle w:val="Compact"/>
              <w:jc w:val="right"/>
            </w:pPr>
            <w:r>
              <w:t xml:space="preserve">61</w:t>
            </w:r>
          </w:p>
        </w:tc>
      </w:tr>
      <w:tr>
        <w:tc>
          <w:p>
            <w:pPr>
              <w:pStyle w:val="Compact"/>
              <w:jc w:val="left"/>
            </w:pPr>
            <w:r>
              <w:t xml:space="preserve">opportunistic grab samples</w:t>
            </w:r>
          </w:p>
        </w:tc>
        <w:tc>
          <w:p>
            <w:pPr>
              <w:pStyle w:val="Compact"/>
              <w:jc w:val="right"/>
            </w:pPr>
            <w:r>
              <w:t xml:space="preserve">17</w:t>
            </w:r>
          </w:p>
        </w:tc>
      </w:tr>
      <w:tr>
        <w:tc>
          <w:p>
            <w:pPr>
              <w:pStyle w:val="Compact"/>
              <w:jc w:val="left"/>
            </w:pPr>
            <w:r>
              <w:t xml:space="preserve">sub-basin synoptic grab samples</w:t>
            </w:r>
          </w:p>
        </w:tc>
        <w:tc>
          <w:p>
            <w:pPr>
              <w:pStyle w:val="Compact"/>
              <w:jc w:val="right"/>
            </w:pPr>
            <w:r>
              <w:t xml:space="preserve">166</w:t>
            </w:r>
          </w:p>
        </w:tc>
      </w:tr>
      <w:tr>
        <w:tc>
          <w:p>
            <w:pPr>
              <w:pStyle w:val="Compact"/>
              <w:jc w:val="left"/>
            </w:pPr>
            <w:r>
              <w:t xml:space="preserve">sub-basin rack samples</w:t>
            </w:r>
          </w:p>
        </w:tc>
        <w:tc>
          <w:p>
            <w:pPr>
              <w:pStyle w:val="Compact"/>
              <w:jc w:val="right"/>
            </w:pPr>
            <w:r>
              <w:t xml:space="preserve">201</w:t>
            </w:r>
          </w:p>
        </w:tc>
      </w:tr>
      <w:tr>
        <w:tc>
          <w:p>
            <w:pPr>
              <w:pStyle w:val="Compact"/>
              <w:jc w:val="left"/>
            </w:pPr>
            <w:r>
              <w:t xml:space="preserve">total</w:t>
            </w:r>
          </w:p>
        </w:tc>
        <w:tc>
          <w:p>
            <w:pPr>
              <w:pStyle w:val="Compact"/>
              <w:jc w:val="right"/>
            </w:pPr>
            <w:r>
              <w:t xml:space="preserve">445</w:t>
            </w:r>
          </w:p>
        </w:tc>
      </w:tr>
    </w:tbl>
    <w:p>
      <w:pPr>
        <w:pStyle w:val="BodyText"/>
      </w:pPr>
      <w:r>
        <w:br/>
      </w:r>
    </w:p>
    <w:p>
      <w:pPr>
        <w:pStyle w:val="Heading3"/>
      </w:pPr>
      <w:bookmarkStart w:id="34" w:name="X3b15312a11c32952758f00587cce5df7ffdf76a"/>
      <w:r>
        <w:t xml:space="preserve">DOC in association with other water quality parameters</w:t>
      </w:r>
      <w:bookmarkEnd w:id="34"/>
    </w:p>
    <w:p>
      <w:pPr>
        <w:pStyle w:val="Heading4"/>
      </w:pPr>
      <w:bookmarkStart w:id="35" w:name="metals-doc"/>
      <w:r>
        <w:t xml:space="preserve">Metals &amp; DOC</w:t>
      </w:r>
      <w:bookmarkEnd w:id="35"/>
    </w:p>
    <w:p>
      <w:pPr>
        <w:pStyle w:val="FirstParagraph"/>
      </w:pPr>
      <w:r>
        <w:t xml:space="preserve">Aqueous natural organic matter (NOM) can play an important role in transportation of metals in solution because it has the physiochemical ability to act as a ligand and create coordinated complexes with metals. From November 2018 to July 2019, seven sets of samples were collected from six sites in the LWSA for metals analysis. Metals samples were collected on behalf of the CRD and were analyzed at Bureau Veritas Laboratories in Sidney, BC (formerly Maxxam Analytics Inc.). For each metals sample collected, a parallel Grab sample was collected and analyzed for DOC at UBC. A suite of total metals were included in the analyses, many of which were below detection limits. Samples which had detectable metals concentrations were plotted against parallel sample DOC concentrations (Figure</w:t>
      </w:r>
      <w:r>
        <w:t xml:space="preserve"> </w:t>
      </w:r>
      <w:r>
        <w:t xml:space="preserve">5</w:t>
      </w:r>
      <w:r>
        <w:t xml:space="preserve"> </w:t>
      </w:r>
      <w:r>
        <w:t xml:space="preserve">shows DOC with total metals in μg/L, and Figure</w:t>
      </w:r>
      <w:r>
        <w:t xml:space="preserve"> </w:t>
      </w:r>
      <w:r>
        <w:t xml:space="preserve">6</w:t>
      </w:r>
      <w:r>
        <w:t xml:space="preserve"> </w:t>
      </w:r>
      <w:r>
        <w:t xml:space="preserve">shows metals in mg/L).</w:t>
      </w:r>
    </w:p>
    <w:p>
      <w:pPr>
        <w:pStyle w:val="BodyText"/>
      </w:pPr>
      <w:r>
        <w:br/>
      </w:r>
    </w:p>
    <w:p>
      <w:pPr>
        <w:pStyle w:val="CaptionedFigure"/>
      </w:pPr>
      <w:r>
        <w:drawing>
          <wp:inline>
            <wp:extent cx="5715000" cy="3527777"/>
            <wp:effectExtent b="0" l="0" r="0" t="0"/>
            <wp:docPr descr="Figure 5:  Concentrations of total metals (in µg/L) and dissolved organic carbon." title="" id="1" name="Picture"/>
            <a:graphic>
              <a:graphicData uri="http://schemas.openxmlformats.org/drawingml/2006/picture">
                <pic:pic>
                  <pic:nvPicPr>
                    <pic:cNvPr descr="R-outputs_UBC-forWater-MSc_HMc/figures/metals-doc_ugL_scatterplots.png" id="0" name="Picture"/>
                    <pic:cNvPicPr>
                      <a:picLocks noChangeArrowheads="1" noChangeAspect="1"/>
                    </pic:cNvPicPr>
                  </pic:nvPicPr>
                  <pic:blipFill>
                    <a:blip r:embed="rId36"/>
                    <a:stretch>
                      <a:fillRect/>
                    </a:stretch>
                  </pic:blipFill>
                  <pic:spPr bwMode="auto">
                    <a:xfrm>
                      <a:off x="0" y="0"/>
                      <a:ext cx="5715000" cy="3527777"/>
                    </a:xfrm>
                    <a:prstGeom prst="rect">
                      <a:avLst/>
                    </a:prstGeom>
                    <a:noFill/>
                    <a:ln w="9525">
                      <a:noFill/>
                      <a:headEnd/>
                      <a:tailEnd/>
                    </a:ln>
                  </pic:spPr>
                </pic:pic>
              </a:graphicData>
            </a:graphic>
          </wp:inline>
        </w:drawing>
      </w:r>
    </w:p>
    <w:p>
      <w:pPr>
        <w:pStyle w:val="ImageCaption"/>
      </w:pPr>
      <w:r>
        <w:t xml:space="preserve">Figure 5:</w:t>
      </w:r>
      <w:r>
        <w:t xml:space="preserve"> </w:t>
      </w:r>
      <w:r>
        <w:t xml:space="preserve"> </w:t>
      </w:r>
      <w:r>
        <w:rPr>
          <w:i/>
        </w:rPr>
        <w:t xml:space="preserve">Concentrations of total metals (in µg/L) and dissolved organic carbon.</w:t>
      </w:r>
    </w:p>
    <w:p>
      <w:pPr>
        <w:pStyle w:val="BodyText"/>
      </w:pPr>
      <w:r>
        <w:br/>
      </w:r>
    </w:p>
    <w:p>
      <w:pPr>
        <w:pStyle w:val="CaptionedFigure"/>
      </w:pPr>
      <w:r>
        <w:drawing>
          <wp:inline>
            <wp:extent cx="5715000" cy="3527777"/>
            <wp:effectExtent b="0" l="0" r="0" t="0"/>
            <wp:docPr descr="Figure 6:  Concentrations of total metals (in mg/L) and dissolved organic carbon." title="" id="1" name="Picture"/>
            <a:graphic>
              <a:graphicData uri="http://schemas.openxmlformats.org/drawingml/2006/picture">
                <pic:pic>
                  <pic:nvPicPr>
                    <pic:cNvPr descr="R-outputs_UBC-forWater-MSc_HMc/figures/metals-doc_mgL_scatterplots.png" id="0" name="Picture"/>
                    <pic:cNvPicPr>
                      <a:picLocks noChangeArrowheads="1" noChangeAspect="1"/>
                    </pic:cNvPicPr>
                  </pic:nvPicPr>
                  <pic:blipFill>
                    <a:blip r:embed="rId37"/>
                    <a:stretch>
                      <a:fillRect/>
                    </a:stretch>
                  </pic:blipFill>
                  <pic:spPr bwMode="auto">
                    <a:xfrm>
                      <a:off x="0" y="0"/>
                      <a:ext cx="5715000" cy="3527777"/>
                    </a:xfrm>
                    <a:prstGeom prst="rect">
                      <a:avLst/>
                    </a:prstGeom>
                    <a:noFill/>
                    <a:ln w="9525">
                      <a:noFill/>
                      <a:headEnd/>
                      <a:tailEnd/>
                    </a:ln>
                  </pic:spPr>
                </pic:pic>
              </a:graphicData>
            </a:graphic>
          </wp:inline>
        </w:drawing>
      </w:r>
    </w:p>
    <w:p>
      <w:pPr>
        <w:pStyle w:val="ImageCaption"/>
      </w:pPr>
      <w:r>
        <w:t xml:space="preserve">Figure 6:</w:t>
      </w:r>
      <w:r>
        <w:t xml:space="preserve"> </w:t>
      </w:r>
      <w:r>
        <w:t xml:space="preserve"> </w:t>
      </w:r>
      <w:r>
        <w:rPr>
          <w:i/>
        </w:rPr>
        <w:t xml:space="preserve">Concentrations of total metals (in mg/L) and dissolved organic carbon.</w:t>
      </w:r>
    </w:p>
    <w:p>
      <w:pPr>
        <w:pStyle w:val="BodyText"/>
      </w:pPr>
      <w:r>
        <w:t xml:space="preserve">DOC concentrations had strong positive relationships with total mercury, iron, manganese, aluminum. While the relationships were not as strong, DOC was also positively related to concentrations of barium, copper, and arsenic. There was a weak inverse relationship between DOC with silicon and potassium (Table</w:t>
      </w:r>
      <w:r>
        <w:t xml:space="preserve"> </w:t>
      </w:r>
      <w:r>
        <w:t xml:space="preserve">5</w:t>
      </w:r>
      <w:r>
        <w:t xml:space="preserve">). All metals concentrations were below maximum allowable concentrations and aesthetic objectives for drinking source water quality guidelines</w:t>
      </w:r>
      <w:r>
        <w:t xml:space="preserve"> </w:t>
      </w:r>
      <w:r>
        <w:t xml:space="preserve">(British Columbia Ministry of Environment</w:t>
      </w:r>
      <w:r>
        <w:t xml:space="preserve"> </w:t>
      </w:r>
      <w:hyperlink w:anchor="ref-BC2019">
        <w:r>
          <w:rPr>
            <w:rStyle w:val="Hyperlink"/>
          </w:rPr>
          <w:t xml:space="preserve">2017</w:t>
        </w:r>
      </w:hyperlink>
      <w:r>
        <w:t xml:space="preserve">)</w:t>
      </w:r>
      <w:r>
        <w:t xml:space="preserve">.</w:t>
      </w:r>
    </w:p>
    <w:p>
      <w:pPr>
        <w:pStyle w:val="BodyText"/>
      </w:pPr>
      <w:r>
        <w:br/>
      </w:r>
    </w:p>
    <w:p>
      <w:pPr>
        <w:pStyle w:val="TableCaption"/>
      </w:pPr>
      <w:r>
        <w:t xml:space="preserve">Table 5:</w:t>
      </w:r>
      <w:r>
        <w:t xml:space="preserve"> </w:t>
      </w:r>
      <w:r>
        <w:rPr>
          <w:i/>
        </w:rPr>
        <w:t xml:space="preserve">Relationships between total metals with dissolved organic carbon</w:t>
      </w:r>
    </w:p>
    <w:tbl>
      <w:tblPr>
        <w:tblStyle w:val="Table"/>
        <w:tblW w:type="pct" w:w="0.0"/>
        <w:tblLook w:firstRow="1"/>
        <w:tblCaption w:val="Table 5: Relationships between total metals with dissolved organic carbon"/>
      </w:tblPr>
      <w:tblGrid/>
      <w:tr>
        <w:trPr>
          <w:cnfStyle w:firstRow="1"/>
        </w:trPr>
        <w:tc>
          <w:tcPr>
            <w:tcBorders>
              <w:bottom w:val="single"/>
            </w:tcBorders>
            <w:vAlign w:val="bottom"/>
          </w:tcPr>
          <w:p>
            <w:pPr>
              <w:pStyle w:val="Compact"/>
              <w:jc w:val="left"/>
            </w:pPr>
            <w:r>
              <w:t xml:space="preserve">Metal</w:t>
            </w:r>
          </w:p>
        </w:tc>
        <w:tc>
          <w:tcPr>
            <w:tcBorders>
              <w:bottom w:val="single"/>
            </w:tcBorders>
            <w:vAlign w:val="bottom"/>
          </w:tcPr>
          <w:p>
            <w:pPr>
              <w:pStyle w:val="Compact"/>
              <w:jc w:val="left"/>
            </w:pPr>
            <w:r>
              <w:t xml:space="preserve">unit</w:t>
            </w:r>
          </w:p>
        </w:tc>
        <w:tc>
          <w:tcPr>
            <w:tcBorders>
              <w:bottom w:val="single"/>
            </w:tcBorders>
            <w:vAlign w:val="bottom"/>
          </w:tcPr>
          <w:p>
            <w:pPr>
              <w:pStyle w:val="Compact"/>
              <w:jc w:val="right"/>
            </w:pPr>
            <w:r>
              <w:t xml:space="preserve">count</w:t>
            </w:r>
          </w:p>
        </w:tc>
        <w:tc>
          <w:tcPr>
            <w:tcBorders>
              <w:bottom w:val="single"/>
            </w:tcBorders>
            <w:vAlign w:val="bottom"/>
          </w:tcPr>
          <w:p>
            <w:pPr>
              <w:pStyle w:val="Compact"/>
              <w:jc w:val="right"/>
            </w:pPr>
            <w:r>
              <w:t xml:space="preserve">slope</w:t>
            </w:r>
          </w:p>
        </w:tc>
        <w:tc>
          <w:tcPr>
            <w:tcBorders>
              <w:bottom w:val="single"/>
            </w:tcBorders>
            <w:vAlign w:val="bottom"/>
          </w:tcPr>
          <w:p>
            <w:pPr>
              <w:pStyle w:val="Compact"/>
              <w:jc w:val="right"/>
            </w:pPr>
            <w:r>
              <w:t xml:space="preserve">Y intercept</w:t>
            </w:r>
          </w:p>
        </w:tc>
        <w:tc>
          <w:tcPr>
            <w:tcBorders>
              <w:bottom w:val="single"/>
            </w:tcBorders>
            <w:vAlign w:val="bottom"/>
          </w:tcPr>
          <w:p>
            <w:pPr>
              <w:pStyle w:val="Compact"/>
              <w:jc w:val="right"/>
            </w:pPr>
            <w:r>
              <w:t xml:space="preserve">R squared</w:t>
            </w:r>
          </w:p>
        </w:tc>
      </w:tr>
      <w:tr>
        <w:tc>
          <w:p>
            <w:pPr>
              <w:pStyle w:val="Compact"/>
              <w:jc w:val="left"/>
            </w:pPr>
            <w:r>
              <w:t xml:space="preserve">Total Mercury (Hg)</w:t>
            </w:r>
          </w:p>
        </w:tc>
        <w:tc>
          <w:p>
            <w:pPr>
              <w:pStyle w:val="Compact"/>
              <w:jc w:val="left"/>
            </w:pPr>
            <w:r>
              <w:t xml:space="preserve">ug/L</w:t>
            </w:r>
          </w:p>
        </w:tc>
        <w:tc>
          <w:p>
            <w:pPr>
              <w:pStyle w:val="Compact"/>
              <w:jc w:val="right"/>
            </w:pPr>
            <w:r>
              <w:t xml:space="preserve">3</w:t>
            </w:r>
          </w:p>
        </w:tc>
        <w:tc>
          <w:p>
            <w:pPr>
              <w:pStyle w:val="Compact"/>
              <w:jc w:val="right"/>
            </w:pPr>
            <w:r>
              <w:t xml:space="preserve">0.00</w:t>
            </w:r>
          </w:p>
        </w:tc>
        <w:tc>
          <w:p>
            <w:pPr>
              <w:pStyle w:val="Compact"/>
              <w:jc w:val="right"/>
            </w:pPr>
            <w:r>
              <w:t xml:space="preserve">0.00</w:t>
            </w:r>
          </w:p>
        </w:tc>
        <w:tc>
          <w:p>
            <w:pPr>
              <w:pStyle w:val="Compact"/>
              <w:jc w:val="right"/>
            </w:pPr>
            <w:r>
              <w:t xml:space="preserve">0.9998</w:t>
            </w:r>
          </w:p>
        </w:tc>
      </w:tr>
      <w:tr>
        <w:tc>
          <w:p>
            <w:pPr>
              <w:pStyle w:val="Compact"/>
              <w:jc w:val="left"/>
            </w:pPr>
            <w:r>
              <w:t xml:space="preserve">Total Iron (Fe)</w:t>
            </w:r>
          </w:p>
        </w:tc>
        <w:tc>
          <w:p>
            <w:pPr>
              <w:pStyle w:val="Compact"/>
              <w:jc w:val="left"/>
            </w:pPr>
            <w:r>
              <w:t xml:space="preserve">ug/L</w:t>
            </w:r>
          </w:p>
        </w:tc>
        <w:tc>
          <w:p>
            <w:pPr>
              <w:pStyle w:val="Compact"/>
              <w:jc w:val="right"/>
            </w:pPr>
            <w:r>
              <w:t xml:space="preserve">40</w:t>
            </w:r>
          </w:p>
        </w:tc>
        <w:tc>
          <w:p>
            <w:pPr>
              <w:pStyle w:val="Compact"/>
              <w:jc w:val="right"/>
            </w:pPr>
            <w:r>
              <w:t xml:space="preserve">30.86</w:t>
            </w:r>
          </w:p>
        </w:tc>
        <w:tc>
          <w:p>
            <w:pPr>
              <w:pStyle w:val="Compact"/>
              <w:jc w:val="right"/>
            </w:pPr>
            <w:r>
              <w:t xml:space="preserve">-74.47</w:t>
            </w:r>
          </w:p>
        </w:tc>
        <w:tc>
          <w:p>
            <w:pPr>
              <w:pStyle w:val="Compact"/>
              <w:jc w:val="right"/>
            </w:pPr>
            <w:r>
              <w:t xml:space="preserve">0.6933</w:t>
            </w:r>
          </w:p>
        </w:tc>
      </w:tr>
      <w:tr>
        <w:tc>
          <w:p>
            <w:pPr>
              <w:pStyle w:val="Compact"/>
              <w:jc w:val="left"/>
            </w:pPr>
            <w:r>
              <w:t xml:space="preserve">Total Manganese (Mn)</w:t>
            </w:r>
          </w:p>
        </w:tc>
        <w:tc>
          <w:p>
            <w:pPr>
              <w:pStyle w:val="Compact"/>
              <w:jc w:val="left"/>
            </w:pPr>
            <w:r>
              <w:t xml:space="preserve">ug/L</w:t>
            </w:r>
          </w:p>
        </w:tc>
        <w:tc>
          <w:p>
            <w:pPr>
              <w:pStyle w:val="Compact"/>
              <w:jc w:val="right"/>
            </w:pPr>
            <w:r>
              <w:t xml:space="preserve">18</w:t>
            </w:r>
          </w:p>
        </w:tc>
        <w:tc>
          <w:p>
            <w:pPr>
              <w:pStyle w:val="Compact"/>
              <w:jc w:val="right"/>
            </w:pPr>
            <w:r>
              <w:t xml:space="preserve">4.38</w:t>
            </w:r>
          </w:p>
        </w:tc>
        <w:tc>
          <w:p>
            <w:pPr>
              <w:pStyle w:val="Compact"/>
              <w:jc w:val="right"/>
            </w:pPr>
            <w:r>
              <w:t xml:space="preserve">-21.41</w:t>
            </w:r>
          </w:p>
        </w:tc>
        <w:tc>
          <w:p>
            <w:pPr>
              <w:pStyle w:val="Compact"/>
              <w:jc w:val="right"/>
            </w:pPr>
            <w:r>
              <w:t xml:space="preserve">0.5939</w:t>
            </w:r>
          </w:p>
        </w:tc>
      </w:tr>
      <w:tr>
        <w:tc>
          <w:p>
            <w:pPr>
              <w:pStyle w:val="Compact"/>
              <w:jc w:val="left"/>
            </w:pPr>
            <w:r>
              <w:t xml:space="preserve">Total Aluminum (Al)</w:t>
            </w:r>
          </w:p>
        </w:tc>
        <w:tc>
          <w:p>
            <w:pPr>
              <w:pStyle w:val="Compact"/>
              <w:jc w:val="left"/>
            </w:pPr>
            <w:r>
              <w:t xml:space="preserve">ug/L</w:t>
            </w:r>
          </w:p>
        </w:tc>
        <w:tc>
          <w:p>
            <w:pPr>
              <w:pStyle w:val="Compact"/>
              <w:jc w:val="right"/>
            </w:pPr>
            <w:r>
              <w:t xml:space="preserve">42</w:t>
            </w:r>
          </w:p>
        </w:tc>
        <w:tc>
          <w:p>
            <w:pPr>
              <w:pStyle w:val="Compact"/>
              <w:jc w:val="right"/>
            </w:pPr>
            <w:r>
              <w:t xml:space="preserve">20.13</w:t>
            </w:r>
          </w:p>
        </w:tc>
        <w:tc>
          <w:p>
            <w:pPr>
              <w:pStyle w:val="Compact"/>
              <w:jc w:val="right"/>
            </w:pPr>
            <w:r>
              <w:t xml:space="preserve">-1.21</w:t>
            </w:r>
          </w:p>
        </w:tc>
        <w:tc>
          <w:p>
            <w:pPr>
              <w:pStyle w:val="Compact"/>
              <w:jc w:val="right"/>
            </w:pPr>
            <w:r>
              <w:t xml:space="preserve">0.3965</w:t>
            </w:r>
          </w:p>
        </w:tc>
      </w:tr>
      <w:tr>
        <w:tc>
          <w:p>
            <w:pPr>
              <w:pStyle w:val="Compact"/>
              <w:jc w:val="left"/>
            </w:pPr>
            <w:r>
              <w:t xml:space="preserve">Total Barium (Ba)</w:t>
            </w:r>
          </w:p>
        </w:tc>
        <w:tc>
          <w:p>
            <w:pPr>
              <w:pStyle w:val="Compact"/>
              <w:jc w:val="left"/>
            </w:pPr>
            <w:r>
              <w:t xml:space="preserve">ug/L</w:t>
            </w:r>
          </w:p>
        </w:tc>
        <w:tc>
          <w:p>
            <w:pPr>
              <w:pStyle w:val="Compact"/>
              <w:jc w:val="right"/>
            </w:pPr>
            <w:r>
              <w:t xml:space="preserve">42</w:t>
            </w:r>
          </w:p>
        </w:tc>
        <w:tc>
          <w:p>
            <w:pPr>
              <w:pStyle w:val="Compact"/>
              <w:jc w:val="right"/>
            </w:pPr>
            <w:r>
              <w:t xml:space="preserve">0.22</w:t>
            </w:r>
          </w:p>
        </w:tc>
        <w:tc>
          <w:p>
            <w:pPr>
              <w:pStyle w:val="Compact"/>
              <w:jc w:val="right"/>
            </w:pPr>
            <w:r>
              <w:t xml:space="preserve">2.28</w:t>
            </w:r>
          </w:p>
        </w:tc>
        <w:tc>
          <w:p>
            <w:pPr>
              <w:pStyle w:val="Compact"/>
              <w:jc w:val="right"/>
            </w:pPr>
            <w:r>
              <w:t xml:space="preserve">0.2251</w:t>
            </w:r>
          </w:p>
        </w:tc>
      </w:tr>
      <w:tr>
        <w:tc>
          <w:p>
            <w:pPr>
              <w:pStyle w:val="Compact"/>
              <w:jc w:val="left"/>
            </w:pPr>
            <w:r>
              <w:t xml:space="preserve">Total Copper (Cu)</w:t>
            </w:r>
          </w:p>
        </w:tc>
        <w:tc>
          <w:p>
            <w:pPr>
              <w:pStyle w:val="Compact"/>
              <w:jc w:val="left"/>
            </w:pPr>
            <w:r>
              <w:t xml:space="preserve">ug/L</w:t>
            </w:r>
          </w:p>
        </w:tc>
        <w:tc>
          <w:p>
            <w:pPr>
              <w:pStyle w:val="Compact"/>
              <w:jc w:val="right"/>
            </w:pPr>
            <w:r>
              <w:t xml:space="preserve">39</w:t>
            </w:r>
          </w:p>
        </w:tc>
        <w:tc>
          <w:p>
            <w:pPr>
              <w:pStyle w:val="Compact"/>
              <w:jc w:val="right"/>
            </w:pPr>
            <w:r>
              <w:t xml:space="preserve">0.06</w:t>
            </w:r>
          </w:p>
        </w:tc>
        <w:tc>
          <w:p>
            <w:pPr>
              <w:pStyle w:val="Compact"/>
              <w:jc w:val="right"/>
            </w:pPr>
            <w:r>
              <w:t xml:space="preserve">0.40</w:t>
            </w:r>
          </w:p>
        </w:tc>
        <w:tc>
          <w:p>
            <w:pPr>
              <w:pStyle w:val="Compact"/>
              <w:jc w:val="right"/>
            </w:pPr>
            <w:r>
              <w:t xml:space="preserve">0.1762</w:t>
            </w:r>
          </w:p>
        </w:tc>
      </w:tr>
      <w:tr>
        <w:tc>
          <w:p>
            <w:pPr>
              <w:pStyle w:val="Compact"/>
              <w:jc w:val="left"/>
            </w:pPr>
            <w:r>
              <w:t xml:space="preserve">Total Arsenic (As)</w:t>
            </w:r>
          </w:p>
        </w:tc>
        <w:tc>
          <w:p>
            <w:pPr>
              <w:pStyle w:val="Compact"/>
              <w:jc w:val="left"/>
            </w:pPr>
            <w:r>
              <w:t xml:space="preserve">ug/L</w:t>
            </w:r>
          </w:p>
        </w:tc>
        <w:tc>
          <w:p>
            <w:pPr>
              <w:pStyle w:val="Compact"/>
              <w:jc w:val="right"/>
            </w:pPr>
            <w:r>
              <w:t xml:space="preserve">14</w:t>
            </w:r>
          </w:p>
        </w:tc>
        <w:tc>
          <w:p>
            <w:pPr>
              <w:pStyle w:val="Compact"/>
              <w:jc w:val="right"/>
            </w:pPr>
            <w:r>
              <w:t xml:space="preserve">0.00</w:t>
            </w:r>
          </w:p>
        </w:tc>
        <w:tc>
          <w:p>
            <w:pPr>
              <w:pStyle w:val="Compact"/>
              <w:jc w:val="right"/>
            </w:pPr>
            <w:r>
              <w:t xml:space="preserve">0.14</w:t>
            </w:r>
          </w:p>
        </w:tc>
        <w:tc>
          <w:p>
            <w:pPr>
              <w:pStyle w:val="Compact"/>
              <w:jc w:val="right"/>
            </w:pPr>
            <w:r>
              <w:t xml:space="preserve">0.1112</w:t>
            </w:r>
          </w:p>
        </w:tc>
      </w:tr>
      <w:tr>
        <w:tc>
          <w:p>
            <w:pPr>
              <w:pStyle w:val="Compact"/>
              <w:jc w:val="left"/>
            </w:pPr>
            <w:r>
              <w:t xml:space="preserve">Total Strontium (Sr)</w:t>
            </w:r>
          </w:p>
        </w:tc>
        <w:tc>
          <w:p>
            <w:pPr>
              <w:pStyle w:val="Compact"/>
              <w:jc w:val="left"/>
            </w:pPr>
            <w:r>
              <w:t xml:space="preserve">ug/L</w:t>
            </w:r>
          </w:p>
        </w:tc>
        <w:tc>
          <w:p>
            <w:pPr>
              <w:pStyle w:val="Compact"/>
              <w:jc w:val="right"/>
            </w:pPr>
            <w:r>
              <w:t xml:space="preserve">42</w:t>
            </w:r>
          </w:p>
        </w:tc>
        <w:tc>
          <w:p>
            <w:pPr>
              <w:pStyle w:val="Compact"/>
              <w:jc w:val="right"/>
            </w:pPr>
            <w:r>
              <w:t xml:space="preserve">0.69</w:t>
            </w:r>
          </w:p>
        </w:tc>
        <w:tc>
          <w:p>
            <w:pPr>
              <w:pStyle w:val="Compact"/>
              <w:jc w:val="right"/>
            </w:pPr>
            <w:r>
              <w:t xml:space="preserve">12.21</w:t>
            </w:r>
          </w:p>
        </w:tc>
        <w:tc>
          <w:p>
            <w:pPr>
              <w:pStyle w:val="Compact"/>
              <w:jc w:val="right"/>
            </w:pPr>
            <w:r>
              <w:t xml:space="preserve">0.0445</w:t>
            </w:r>
          </w:p>
        </w:tc>
      </w:tr>
      <w:tr>
        <w:tc>
          <w:p>
            <w:pPr>
              <w:pStyle w:val="Compact"/>
              <w:jc w:val="left"/>
            </w:pPr>
            <w:r>
              <w:t xml:space="preserve">Total Silicon (Si)</w:t>
            </w:r>
          </w:p>
        </w:tc>
        <w:tc>
          <w:p>
            <w:pPr>
              <w:pStyle w:val="Compact"/>
              <w:jc w:val="left"/>
            </w:pPr>
            <w:r>
              <w:t xml:space="preserve">ug/L</w:t>
            </w:r>
          </w:p>
        </w:tc>
        <w:tc>
          <w:p>
            <w:pPr>
              <w:pStyle w:val="Compact"/>
              <w:jc w:val="right"/>
            </w:pPr>
            <w:r>
              <w:t xml:space="preserve">42</w:t>
            </w:r>
          </w:p>
        </w:tc>
        <w:tc>
          <w:p>
            <w:pPr>
              <w:pStyle w:val="Compact"/>
              <w:jc w:val="right"/>
            </w:pPr>
            <w:r>
              <w:t xml:space="preserve">-37.45</w:t>
            </w:r>
          </w:p>
        </w:tc>
        <w:tc>
          <w:p>
            <w:pPr>
              <w:pStyle w:val="Compact"/>
              <w:jc w:val="right"/>
            </w:pPr>
            <w:r>
              <w:t xml:space="preserve">2433.98</w:t>
            </w:r>
          </w:p>
        </w:tc>
        <w:tc>
          <w:p>
            <w:pPr>
              <w:pStyle w:val="Compact"/>
              <w:jc w:val="right"/>
            </w:pPr>
            <w:r>
              <w:t xml:space="preserve">0.0383</w:t>
            </w:r>
          </w:p>
        </w:tc>
      </w:tr>
      <w:tr>
        <w:tc>
          <w:p>
            <w:pPr>
              <w:pStyle w:val="Compact"/>
              <w:jc w:val="left"/>
            </w:pPr>
            <w:r>
              <w:t xml:space="preserve">Total Magnesium (Mg)</w:t>
            </w:r>
          </w:p>
        </w:tc>
        <w:tc>
          <w:p>
            <w:pPr>
              <w:pStyle w:val="Compact"/>
              <w:jc w:val="left"/>
            </w:pPr>
            <w:r>
              <w:t xml:space="preserve">mg/L</w:t>
            </w:r>
          </w:p>
        </w:tc>
        <w:tc>
          <w:p>
            <w:pPr>
              <w:pStyle w:val="Compact"/>
              <w:jc w:val="right"/>
            </w:pPr>
            <w:r>
              <w:t xml:space="preserve">42</w:t>
            </w:r>
          </w:p>
        </w:tc>
        <w:tc>
          <w:p>
            <w:pPr>
              <w:pStyle w:val="Compact"/>
              <w:jc w:val="right"/>
            </w:pPr>
            <w:r>
              <w:t xml:space="preserve">0.01</w:t>
            </w:r>
          </w:p>
        </w:tc>
        <w:tc>
          <w:p>
            <w:pPr>
              <w:pStyle w:val="Compact"/>
              <w:jc w:val="right"/>
            </w:pPr>
            <w:r>
              <w:t xml:space="preserve">0.55</w:t>
            </w:r>
          </w:p>
        </w:tc>
        <w:tc>
          <w:p>
            <w:pPr>
              <w:pStyle w:val="Compact"/>
              <w:jc w:val="right"/>
            </w:pPr>
            <w:r>
              <w:t xml:space="preserve">0.0298</w:t>
            </w:r>
          </w:p>
        </w:tc>
      </w:tr>
      <w:tr>
        <w:tc>
          <w:p>
            <w:pPr>
              <w:pStyle w:val="Compact"/>
              <w:jc w:val="left"/>
            </w:pPr>
            <w:r>
              <w:t xml:space="preserve">Total Potassium (K)</w:t>
            </w:r>
          </w:p>
        </w:tc>
        <w:tc>
          <w:p>
            <w:pPr>
              <w:pStyle w:val="Compact"/>
              <w:jc w:val="left"/>
            </w:pPr>
            <w:r>
              <w:t xml:space="preserve">mg/L</w:t>
            </w:r>
          </w:p>
        </w:tc>
        <w:tc>
          <w:p>
            <w:pPr>
              <w:pStyle w:val="Compact"/>
              <w:jc w:val="right"/>
            </w:pPr>
            <w:r>
              <w:t xml:space="preserve">32</w:t>
            </w:r>
          </w:p>
        </w:tc>
        <w:tc>
          <w:p>
            <w:pPr>
              <w:pStyle w:val="Compact"/>
              <w:jc w:val="right"/>
            </w:pPr>
            <w:r>
              <w:t xml:space="preserve">-0.01</w:t>
            </w:r>
          </w:p>
        </w:tc>
        <w:tc>
          <w:p>
            <w:pPr>
              <w:pStyle w:val="Compact"/>
              <w:jc w:val="right"/>
            </w:pPr>
            <w:r>
              <w:t xml:space="preserve">0.17</w:t>
            </w:r>
          </w:p>
        </w:tc>
        <w:tc>
          <w:p>
            <w:pPr>
              <w:pStyle w:val="Compact"/>
              <w:jc w:val="right"/>
            </w:pPr>
            <w:r>
              <w:t xml:space="preserve">0.0216</w:t>
            </w:r>
          </w:p>
        </w:tc>
      </w:tr>
      <w:tr>
        <w:tc>
          <w:p>
            <w:pPr>
              <w:pStyle w:val="Compact"/>
              <w:jc w:val="left"/>
            </w:pPr>
            <w:r>
              <w:t xml:space="preserve">Total Hardness (CaCO3)</w:t>
            </w:r>
          </w:p>
        </w:tc>
        <w:tc>
          <w:p>
            <w:pPr>
              <w:pStyle w:val="Compact"/>
              <w:jc w:val="left"/>
            </w:pPr>
            <w:r>
              <w:t xml:space="preserve">mg/L</w:t>
            </w:r>
          </w:p>
        </w:tc>
        <w:tc>
          <w:p>
            <w:pPr>
              <w:pStyle w:val="Compact"/>
              <w:jc w:val="right"/>
            </w:pPr>
            <w:r>
              <w:t xml:space="preserve">41</w:t>
            </w:r>
          </w:p>
        </w:tc>
        <w:tc>
          <w:p>
            <w:pPr>
              <w:pStyle w:val="Compact"/>
              <w:jc w:val="right"/>
            </w:pPr>
            <w:r>
              <w:t xml:space="preserve">0.19</w:t>
            </w:r>
          </w:p>
        </w:tc>
        <w:tc>
          <w:p>
            <w:pPr>
              <w:pStyle w:val="Compact"/>
              <w:jc w:val="right"/>
            </w:pPr>
            <w:r>
              <w:t xml:space="preserve">7.87</w:t>
            </w:r>
          </w:p>
        </w:tc>
        <w:tc>
          <w:p>
            <w:pPr>
              <w:pStyle w:val="Compact"/>
              <w:jc w:val="right"/>
            </w:pPr>
            <w:r>
              <w:t xml:space="preserve">0.0153</w:t>
            </w:r>
          </w:p>
        </w:tc>
      </w:tr>
      <w:tr>
        <w:tc>
          <w:p>
            <w:pPr>
              <w:pStyle w:val="Compact"/>
              <w:jc w:val="left"/>
            </w:pPr>
            <w:r>
              <w:t xml:space="preserve">Total Calcium (Ca)</w:t>
            </w:r>
          </w:p>
        </w:tc>
        <w:tc>
          <w:p>
            <w:pPr>
              <w:pStyle w:val="Compact"/>
              <w:jc w:val="left"/>
            </w:pPr>
            <w:r>
              <w:t xml:space="preserve">mg/L</w:t>
            </w:r>
          </w:p>
        </w:tc>
        <w:tc>
          <w:p>
            <w:pPr>
              <w:pStyle w:val="Compact"/>
              <w:jc w:val="right"/>
            </w:pPr>
            <w:r>
              <w:t xml:space="preserve">42</w:t>
            </w:r>
          </w:p>
        </w:tc>
        <w:tc>
          <w:p>
            <w:pPr>
              <w:pStyle w:val="Compact"/>
              <w:jc w:val="right"/>
            </w:pPr>
            <w:r>
              <w:t xml:space="preserve">0.04</w:t>
            </w:r>
          </w:p>
        </w:tc>
        <w:tc>
          <w:p>
            <w:pPr>
              <w:pStyle w:val="Compact"/>
              <w:jc w:val="right"/>
            </w:pPr>
            <w:r>
              <w:t xml:space="preserve">2.30</w:t>
            </w:r>
          </w:p>
        </w:tc>
        <w:tc>
          <w:p>
            <w:pPr>
              <w:pStyle w:val="Compact"/>
              <w:jc w:val="right"/>
            </w:pPr>
            <w:r>
              <w:t xml:space="preserve">0.0095</w:t>
            </w:r>
          </w:p>
        </w:tc>
      </w:tr>
      <w:tr>
        <w:tc>
          <w:p>
            <w:pPr>
              <w:pStyle w:val="Compact"/>
              <w:jc w:val="left"/>
            </w:pPr>
            <w:r>
              <w:t xml:space="preserve">Total Sodium (Na)</w:t>
            </w:r>
          </w:p>
        </w:tc>
        <w:tc>
          <w:p>
            <w:pPr>
              <w:pStyle w:val="Compact"/>
              <w:jc w:val="left"/>
            </w:pPr>
            <w:r>
              <w:t xml:space="preserve">mg/L</w:t>
            </w:r>
          </w:p>
        </w:tc>
        <w:tc>
          <w:p>
            <w:pPr>
              <w:pStyle w:val="Compact"/>
              <w:jc w:val="right"/>
            </w:pPr>
            <w:r>
              <w:t xml:space="preserve">37</w:t>
            </w:r>
          </w:p>
        </w:tc>
        <w:tc>
          <w:p>
            <w:pPr>
              <w:pStyle w:val="Compact"/>
              <w:jc w:val="right"/>
            </w:pPr>
            <w:r>
              <w:t xml:space="preserve">0.03</w:t>
            </w:r>
          </w:p>
        </w:tc>
        <w:tc>
          <w:p>
            <w:pPr>
              <w:pStyle w:val="Compact"/>
              <w:jc w:val="right"/>
            </w:pPr>
            <w:r>
              <w:t xml:space="preserve">1.70</w:t>
            </w:r>
          </w:p>
        </w:tc>
        <w:tc>
          <w:p>
            <w:pPr>
              <w:pStyle w:val="Compact"/>
              <w:jc w:val="right"/>
            </w:pPr>
            <w:r>
              <w:t xml:space="preserve">0.0081</w:t>
            </w:r>
          </w:p>
        </w:tc>
      </w:tr>
    </w:tbl>
    <w:p>
      <w:pPr>
        <w:pStyle w:val="BodyText"/>
      </w:pPr>
      <w:r>
        <w:br/>
      </w:r>
    </w:p>
    <w:p>
      <w:pPr>
        <w:pStyle w:val="Heading4"/>
      </w:pPr>
      <w:bookmarkStart w:id="38" w:name="nitrate-doc"/>
      <w:r>
        <w:t xml:space="preserve">Nitrate &amp; DOC</w:t>
      </w:r>
      <w:bookmarkEnd w:id="38"/>
    </w:p>
    <w:p>
      <w:pPr>
        <w:pStyle w:val="FirstParagraph"/>
      </w:pPr>
      <w:r>
        <w:t xml:space="preserve">Each sample that was analyzed on the Spectrolyser resulted in an estimate of DOC and nitrate concentrations based on sample UV-Vis light absorption. Estimated concentrations of nitrate were positively related to DOC concentration (Figure</w:t>
      </w:r>
      <w:r>
        <w:t xml:space="preserve"> </w:t>
      </w:r>
      <w:r>
        <w:t xml:space="preserve">7</w:t>
      </w:r>
      <w:r>
        <w:t xml:space="preserve">).</w:t>
      </w:r>
    </w:p>
    <w:p>
      <w:pPr>
        <w:pStyle w:val="CaptionedFigure"/>
      </w:pPr>
      <w:r>
        <w:drawing>
          <wp:inline>
            <wp:extent cx="5715000" cy="3527777"/>
            <wp:effectExtent b="0" l="0" r="0" t="0"/>
            <wp:docPr descr="Figure 7: Concentration of nitrate (estimated via UV-Vis absorption) and dissolved organic carbon." title="" id="1" name="Picture"/>
            <a:graphic>
              <a:graphicData uri="http://schemas.openxmlformats.org/drawingml/2006/picture">
                <pic:pic>
                  <pic:nvPicPr>
                    <pic:cNvPr descr="R-outputs_UBC-forWater-MSc_HMc/figures/nitrate-DOC_scatter.png" id="0" name="Picture"/>
                    <pic:cNvPicPr>
                      <a:picLocks noChangeArrowheads="1" noChangeAspect="1"/>
                    </pic:cNvPicPr>
                  </pic:nvPicPr>
                  <pic:blipFill>
                    <a:blip r:embed="rId39"/>
                    <a:stretch>
                      <a:fillRect/>
                    </a:stretch>
                  </pic:blipFill>
                  <pic:spPr bwMode="auto">
                    <a:xfrm>
                      <a:off x="0" y="0"/>
                      <a:ext cx="5715000" cy="3527777"/>
                    </a:xfrm>
                    <a:prstGeom prst="rect">
                      <a:avLst/>
                    </a:prstGeom>
                    <a:noFill/>
                    <a:ln w="9525">
                      <a:noFill/>
                      <a:headEnd/>
                      <a:tailEnd/>
                    </a:ln>
                  </pic:spPr>
                </pic:pic>
              </a:graphicData>
            </a:graphic>
          </wp:inline>
        </w:drawing>
      </w:r>
    </w:p>
    <w:p>
      <w:pPr>
        <w:pStyle w:val="ImageCaption"/>
      </w:pPr>
      <w:r>
        <w:t xml:space="preserve">Figure 7:</w:t>
      </w:r>
      <w:r>
        <w:t xml:space="preserve"> </w:t>
      </w:r>
      <w:r>
        <w:t xml:space="preserve">Concentration of nitrate (estimated via UV-Vis absorption) and dissolved organic carbon.</w:t>
      </w:r>
    </w:p>
    <w:p>
      <w:pPr>
        <w:pStyle w:val="BodyText"/>
      </w:pPr>
      <w:r>
        <w:t xml:space="preserve">UV absorbance based estimations of DOC concentration were more strongly correlated to nitrate estimates (Figure</w:t>
      </w:r>
      <w:r>
        <w:t xml:space="preserve"> </w:t>
      </w:r>
      <w:r>
        <w:t xml:space="preserve">8</w:t>
      </w:r>
      <w:r>
        <w:t xml:space="preserve">).</w:t>
      </w:r>
    </w:p>
    <w:p>
      <w:pPr>
        <w:pStyle w:val="CaptionedFigure"/>
      </w:pPr>
      <w:r>
        <w:drawing>
          <wp:inline>
            <wp:extent cx="5715000" cy="3527777"/>
            <wp:effectExtent b="0" l="0" r="0" t="0"/>
            <wp:docPr descr="Figure 8: Concentration of nitrate and dissolved organic carbon, both estimated via UV-Vis absorption." title="" id="1" name="Picture"/>
            <a:graphic>
              <a:graphicData uri="http://schemas.openxmlformats.org/drawingml/2006/picture">
                <pic:pic>
                  <pic:nvPicPr>
                    <pic:cNvPr descr="R-outputs_UBC-forWater-MSc_HMc/figures/nitrate-DOCeq_scatter.png" id="0" name="Picture"/>
                    <pic:cNvPicPr>
                      <a:picLocks noChangeArrowheads="1" noChangeAspect="1"/>
                    </pic:cNvPicPr>
                  </pic:nvPicPr>
                  <pic:blipFill>
                    <a:blip r:embed="rId40"/>
                    <a:stretch>
                      <a:fillRect/>
                    </a:stretch>
                  </pic:blipFill>
                  <pic:spPr bwMode="auto">
                    <a:xfrm>
                      <a:off x="0" y="0"/>
                      <a:ext cx="5715000" cy="3527777"/>
                    </a:xfrm>
                    <a:prstGeom prst="rect">
                      <a:avLst/>
                    </a:prstGeom>
                    <a:noFill/>
                    <a:ln w="9525">
                      <a:noFill/>
                      <a:headEnd/>
                      <a:tailEnd/>
                    </a:ln>
                  </pic:spPr>
                </pic:pic>
              </a:graphicData>
            </a:graphic>
          </wp:inline>
        </w:drawing>
      </w:r>
    </w:p>
    <w:p>
      <w:pPr>
        <w:pStyle w:val="ImageCaption"/>
      </w:pPr>
      <w:r>
        <w:t xml:space="preserve">Figure 8:</w:t>
      </w:r>
      <w:r>
        <w:t xml:space="preserve"> </w:t>
      </w:r>
      <w:r>
        <w:t xml:space="preserve">Concentration of nitrate and dissolved organic carbon, both estimated via UV-Vis absorption.</w:t>
      </w:r>
    </w:p>
    <w:p>
      <w:pPr>
        <w:pStyle w:val="Heading4"/>
      </w:pPr>
      <w:bookmarkStart w:id="41" w:name="treatability-doc"/>
      <w:r>
        <w:t xml:space="preserve">Treatability &amp; DOC</w:t>
      </w:r>
      <w:bookmarkEnd w:id="41"/>
    </w:p>
    <w:p>
      <w:pPr>
        <w:pStyle w:val="FirstParagraph"/>
      </w:pPr>
      <w:r>
        <w:t xml:space="preserve">Dissolved organic matter, particularly high molecular weight aromatic compounds, are precursors to disinfection by-products (DBPs) formed during chlorination of source drinking water. Drinking water supply for the CRD is treated simply by chlorinating raw source water, and therefore source water NOM is important for treatability. To assess the potential of source water to form potentially harmful DBPs, samples were collected from four locations and sent to partners at the University of Waterloo for treatability analyses (specifically, DBP formation potentials (DBP-FPs)).</w:t>
      </w:r>
    </w:p>
    <w:p>
      <w:pPr>
        <w:pStyle w:val="BodyText"/>
      </w:pPr>
      <w:r>
        <w:t xml:space="preserve">Results from two sets of samples at four selected sites showed positive correlations between DOC concentrations and DBP-FPs, and even stronger relationships between DBP-FPs and UV absorbance at 254-nm – an indicator of NOM aromaticity (Figure</w:t>
      </w:r>
      <w:r>
        <w:t xml:space="preserve"> </w:t>
      </w:r>
      <w:r>
        <w:t xml:space="preserve">9</w:t>
      </w:r>
      <w:r>
        <w:t xml:space="preserve">. The relatively stronger correlation between DBP-FPs and UV-254 indicates that while DOM concentration is an important indicator of source water treatability challenges, the aromaticity of source water NOM may be an even more important driver.</w:t>
      </w:r>
    </w:p>
    <w:p>
      <w:pPr>
        <w:pStyle w:val="BodyText"/>
      </w:pPr>
      <w:r>
        <w:br/>
      </w:r>
    </w:p>
    <w:p>
      <w:pPr>
        <w:pStyle w:val="CaptionedFigure"/>
      </w:pPr>
      <w:r>
        <w:drawing>
          <wp:inline>
            <wp:extent cx="5715000" cy="7347857"/>
            <wp:effectExtent b="0" l="0" r="0" t="0"/>
            <wp:docPr descr="Figure 9: Plots of disinfection by-product formation potentials (DBP-FPs) with dissolved organic carbon (left column) and UV absorbance at 254 nm (right column). Samples collected at four sites on two occasions.}" title="" id="1" name="Picture"/>
            <a:graphic>
              <a:graphicData uri="http://schemas.openxmlformats.org/drawingml/2006/picture">
                <pic:pic>
                  <pic:nvPicPr>
                    <pic:cNvPr descr="R-outputs_UBC-forWater-MSc_HMc/figures/treatability_DOC-UV254.png" id="0" name="Picture"/>
                    <pic:cNvPicPr>
                      <a:picLocks noChangeArrowheads="1" noChangeAspect="1"/>
                    </pic:cNvPicPr>
                  </pic:nvPicPr>
                  <pic:blipFill>
                    <a:blip r:embed="rId42"/>
                    <a:stretch>
                      <a:fillRect/>
                    </a:stretch>
                  </pic:blipFill>
                  <pic:spPr bwMode="auto">
                    <a:xfrm>
                      <a:off x="0" y="0"/>
                      <a:ext cx="5715000" cy="7347857"/>
                    </a:xfrm>
                    <a:prstGeom prst="rect">
                      <a:avLst/>
                    </a:prstGeom>
                    <a:noFill/>
                    <a:ln w="9525">
                      <a:noFill/>
                      <a:headEnd/>
                      <a:tailEnd/>
                    </a:ln>
                  </pic:spPr>
                </pic:pic>
              </a:graphicData>
            </a:graphic>
          </wp:inline>
        </w:drawing>
      </w:r>
    </w:p>
    <w:p>
      <w:pPr>
        <w:pStyle w:val="ImageCaption"/>
      </w:pPr>
      <w:r>
        <w:t xml:space="preserve">Figure 9:</w:t>
      </w:r>
      <w:r>
        <w:t xml:space="preserve"> </w:t>
      </w:r>
      <w:r>
        <w:t xml:space="preserve">Plots of disinfection by-product formation potentials (DBP-FPs) with dissolved organic carbon (left column) and UV absorbance at 254 nm (right column). Samples collected at four sites on two occasions.}</w:t>
      </w:r>
    </w:p>
    <w:p>
      <w:pPr>
        <w:pStyle w:val="BodyText"/>
      </w:pPr>
      <w:r>
        <w:br/>
      </w:r>
    </w:p>
    <w:p>
      <w:pPr>
        <w:pStyle w:val="BodyText"/>
      </w:pPr>
      <w:r>
        <w:t xml:space="preserve">While UV-254 is a good indicator of NOM aromaticity, there are naturally occurring aqueous chemicals (e.g., nitrate and iron) which can interfere with spectroscopic analyses and lead to positive bias in DOM estimates. While aqueous nitrate may lead to an over estimate absorbance-based DOM concentrations, aqueous nitrogen can also play an important roll as a precursor to nitrogenous-DBPs when in combination with NOM.</w:t>
      </w:r>
    </w:p>
    <w:p>
      <w:pPr>
        <w:pStyle w:val="Heading5"/>
      </w:pPr>
      <w:bookmarkStart w:id="43" w:name="X25023dab3d03b2d2dc0aee8836793a8892f843c"/>
      <w:r>
        <w:t xml:space="preserve">treatability metrics of Tunnel versus Sooke Tribs</w:t>
      </w:r>
      <w:bookmarkEnd w:id="43"/>
    </w:p>
    <w:p>
      <w:pPr>
        <w:pStyle w:val="Heading3"/>
      </w:pPr>
      <w:bookmarkStart w:id="44" w:name="synoptic-sampling-grab-samples-doc"/>
      <w:r>
        <w:t xml:space="preserve">Synoptic sampling (grab samples): DOC</w:t>
      </w:r>
      <w:bookmarkEnd w:id="44"/>
    </w:p>
    <w:p>
      <w:pPr>
        <w:pStyle w:val="FirstParagraph"/>
      </w:pPr>
      <w:r>
        <w:t xml:space="preserve">Over the sixteen month study period, 227 samples were collected at thirteen river sites across the Leech and Sooke water supply areas. Figure</w:t>
      </w:r>
      <w:r>
        <w:t xml:space="preserve"> </w:t>
      </w:r>
      <w:r>
        <w:t xml:space="preserve">10</w:t>
      </w:r>
      <w:r>
        <w:t xml:space="preserve"> </w:t>
      </w:r>
      <w:r>
        <w:t xml:space="preserve">shows DOC concentrations across each synoptically samples site, and Table</w:t>
      </w:r>
      <w:r>
        <w:t xml:space="preserve"> </w:t>
      </w:r>
      <w:r>
        <w:t xml:space="preserve">??</w:t>
      </w:r>
      <w:r>
        <w:t xml:space="preserve"> </w:t>
      </w:r>
      <w:r>
        <w:t xml:space="preserve">summarized the range of DOC concentrations.</w:t>
      </w:r>
    </w:p>
    <w:p>
      <w:pPr>
        <w:pStyle w:val="BodyText"/>
      </w:pPr>
      <w:r>
        <w:t xml:space="preserve"> </w:t>
      </w:r>
    </w:p>
    <w:p>
      <w:pPr>
        <w:pStyle w:val="CaptionedFigure"/>
      </w:pPr>
      <w:r>
        <w:drawing>
          <wp:inline>
            <wp:extent cx="5715000" cy="3527777"/>
            <wp:effectExtent b="0" l="0" r="0" t="0"/>
            <wp:docPr descr="Figure 10: Synoptic sampling results of dissolved organic carbon concentrations from 13 sites over 16 months (227 grab samples)." title="" id="1" name="Picture"/>
            <a:graphic>
              <a:graphicData uri="http://schemas.openxmlformats.org/drawingml/2006/picture">
                <pic:pic>
                  <pic:nvPicPr>
                    <pic:cNvPr descr="R-outputs_UBC-forWater-MSc_HMc/figures/DOC_syn_13sites_boxplots.png" id="0" name="Picture"/>
                    <pic:cNvPicPr>
                      <a:picLocks noChangeArrowheads="1" noChangeAspect="1"/>
                    </pic:cNvPicPr>
                  </pic:nvPicPr>
                  <pic:blipFill>
                    <a:blip r:embed="rId45"/>
                    <a:stretch>
                      <a:fillRect/>
                    </a:stretch>
                  </pic:blipFill>
                  <pic:spPr bwMode="auto">
                    <a:xfrm>
                      <a:off x="0" y="0"/>
                      <a:ext cx="5715000" cy="3527777"/>
                    </a:xfrm>
                    <a:prstGeom prst="rect">
                      <a:avLst/>
                    </a:prstGeom>
                    <a:noFill/>
                    <a:ln w="9525">
                      <a:noFill/>
                      <a:headEnd/>
                      <a:tailEnd/>
                    </a:ln>
                  </pic:spPr>
                </pic:pic>
              </a:graphicData>
            </a:graphic>
          </wp:inline>
        </w:drawing>
      </w:r>
    </w:p>
    <w:p>
      <w:pPr>
        <w:pStyle w:val="ImageCaption"/>
      </w:pPr>
      <w:r>
        <w:t xml:space="preserve">Figure 10:</w:t>
      </w:r>
      <w:r>
        <w:t xml:space="preserve"> </w:t>
      </w:r>
      <w:r>
        <w:t xml:space="preserve">Synoptic sampling results of dissolved organic carbon concentrations from 13 sites over 16 months (227 grab samples).</w:t>
      </w:r>
    </w:p>
    <w:p>
      <w:pPr>
        <w:pStyle w:val="BodyText"/>
      </w:pPr>
      <w:r>
        <w:br/>
      </w:r>
    </w:p>
    <w:p>
      <w:pPr>
        <w:pStyle w:val="TableCaption"/>
      </w:pPr>
      <w:r>
        <w:t xml:space="preserve">Table 6:</w:t>
      </w:r>
      <w:r>
        <w:t xml:space="preserve"> </w:t>
      </w:r>
      <w:r>
        <w:rPr>
          <w:i/>
        </w:rPr>
        <w:t xml:space="preserve">Summary of dissolved organic carbon across thirteen synoptically sampled river sites</w:t>
      </w:r>
    </w:p>
    <w:tbl>
      <w:tblPr>
        <w:tblStyle w:val="Table"/>
        <w:tblW w:type="pct" w:w="0.0"/>
        <w:tblLook w:firstRow="1"/>
        <w:tblCaption w:val="Table 6: Summary of dissolved organic carbon across thirteen synoptically sampled river sites"/>
      </w:tblPr>
      <w:tblGrid/>
      <w:tr>
        <w:trPr>
          <w:cnfStyle w:firstRow="1"/>
        </w:trPr>
        <w:tc>
          <w:tcPr>
            <w:tcBorders>
              <w:bottom w:val="single"/>
            </w:tcBorders>
            <w:vAlign w:val="bottom"/>
          </w:tcPr>
          <w:p>
            <w:pPr>
              <w:pStyle w:val="Compact"/>
              <w:jc w:val="left"/>
            </w:pPr>
            <w:r>
              <w:t xml:space="preserve">site</w:t>
            </w:r>
          </w:p>
        </w:tc>
        <w:tc>
          <w:tcPr>
            <w:tcBorders>
              <w:bottom w:val="single"/>
            </w:tcBorders>
            <w:vAlign w:val="bottom"/>
          </w:tcPr>
          <w:p>
            <w:pPr>
              <w:pStyle w:val="Compact"/>
              <w:jc w:val="right"/>
            </w:pPr>
            <w:r>
              <w:t xml:space="preserve">count</w:t>
            </w:r>
          </w:p>
        </w:tc>
        <w:tc>
          <w:tcPr>
            <w:tcBorders>
              <w:bottom w:val="single"/>
            </w:tcBorders>
            <w:vAlign w:val="bottom"/>
          </w:tcPr>
          <w:p>
            <w:pPr>
              <w:pStyle w:val="Compact"/>
              <w:jc w:val="right"/>
            </w:pPr>
            <w:r>
              <w:t xml:space="preserve">DOCmean</w:t>
            </w:r>
          </w:p>
        </w:tc>
        <w:tc>
          <w:tcPr>
            <w:tcBorders>
              <w:bottom w:val="single"/>
            </w:tcBorders>
            <w:vAlign w:val="bottom"/>
          </w:tcPr>
          <w:p>
            <w:pPr>
              <w:pStyle w:val="Compact"/>
              <w:jc w:val="right"/>
            </w:pPr>
            <w:r>
              <w:t xml:space="preserve">DOCsd</w:t>
            </w:r>
          </w:p>
        </w:tc>
        <w:tc>
          <w:tcPr>
            <w:tcBorders>
              <w:bottom w:val="single"/>
            </w:tcBorders>
            <w:vAlign w:val="bottom"/>
          </w:tcPr>
          <w:p>
            <w:pPr>
              <w:pStyle w:val="Compact"/>
              <w:jc w:val="right"/>
            </w:pPr>
            <w:r>
              <w:t xml:space="preserve">DOCmin</w:t>
            </w:r>
          </w:p>
        </w:tc>
        <w:tc>
          <w:tcPr>
            <w:tcBorders>
              <w:bottom w:val="single"/>
            </w:tcBorders>
            <w:vAlign w:val="bottom"/>
          </w:tcPr>
          <w:p>
            <w:pPr>
              <w:pStyle w:val="Compact"/>
              <w:jc w:val="right"/>
            </w:pPr>
            <w:r>
              <w:t xml:space="preserve">DOCmedian</w:t>
            </w:r>
          </w:p>
        </w:tc>
        <w:tc>
          <w:tcPr>
            <w:tcBorders>
              <w:bottom w:val="single"/>
            </w:tcBorders>
            <w:vAlign w:val="bottom"/>
          </w:tcPr>
          <w:p>
            <w:pPr>
              <w:pStyle w:val="Compact"/>
              <w:jc w:val="right"/>
            </w:pPr>
            <w:r>
              <w:t xml:space="preserve">DOCmax</w:t>
            </w:r>
          </w:p>
        </w:tc>
      </w:tr>
      <w:tr>
        <w:tc>
          <w:p>
            <w:pPr>
              <w:pStyle w:val="Compact"/>
              <w:jc w:val="left"/>
            </w:pPr>
            <w:r>
              <w:t xml:space="preserve">Weeks</w:t>
            </w:r>
          </w:p>
        </w:tc>
        <w:tc>
          <w:p>
            <w:pPr>
              <w:pStyle w:val="Compact"/>
              <w:jc w:val="right"/>
            </w:pPr>
            <w:r>
              <w:t xml:space="preserve">24</w:t>
            </w:r>
          </w:p>
        </w:tc>
        <w:tc>
          <w:p>
            <w:pPr>
              <w:pStyle w:val="Compact"/>
              <w:jc w:val="right"/>
            </w:pPr>
            <w:r>
              <w:t xml:space="preserve">9.7</w:t>
            </w:r>
          </w:p>
        </w:tc>
        <w:tc>
          <w:p>
            <w:pPr>
              <w:pStyle w:val="Compact"/>
              <w:jc w:val="right"/>
            </w:pPr>
            <w:r>
              <w:t xml:space="preserve">3.0</w:t>
            </w:r>
          </w:p>
        </w:tc>
        <w:tc>
          <w:p>
            <w:pPr>
              <w:pStyle w:val="Compact"/>
              <w:jc w:val="right"/>
            </w:pPr>
            <w:r>
              <w:t xml:space="preserve">6.38</w:t>
            </w:r>
          </w:p>
        </w:tc>
        <w:tc>
          <w:p>
            <w:pPr>
              <w:pStyle w:val="Compact"/>
              <w:jc w:val="right"/>
            </w:pPr>
            <w:r>
              <w:t xml:space="preserve">9.35</w:t>
            </w:r>
          </w:p>
        </w:tc>
        <w:tc>
          <w:p>
            <w:pPr>
              <w:pStyle w:val="Compact"/>
              <w:jc w:val="right"/>
            </w:pPr>
            <w:r>
              <w:t xml:space="preserve">18.74</w:t>
            </w:r>
          </w:p>
        </w:tc>
      </w:tr>
      <w:tr>
        <w:tc>
          <w:p>
            <w:pPr>
              <w:pStyle w:val="Compact"/>
              <w:jc w:val="left"/>
            </w:pPr>
            <w:r>
              <w:t xml:space="preserve">ChrisCrk</w:t>
            </w:r>
          </w:p>
        </w:tc>
        <w:tc>
          <w:p>
            <w:pPr>
              <w:pStyle w:val="Compact"/>
              <w:jc w:val="right"/>
            </w:pPr>
            <w:r>
              <w:t xml:space="preserve">22</w:t>
            </w:r>
          </w:p>
        </w:tc>
        <w:tc>
          <w:p>
            <w:pPr>
              <w:pStyle w:val="Compact"/>
              <w:jc w:val="right"/>
            </w:pPr>
            <w:r>
              <w:t xml:space="preserve">4.3</w:t>
            </w:r>
          </w:p>
        </w:tc>
        <w:tc>
          <w:p>
            <w:pPr>
              <w:pStyle w:val="Compact"/>
              <w:jc w:val="right"/>
            </w:pPr>
            <w:r>
              <w:t xml:space="preserve">2.2</w:t>
            </w:r>
          </w:p>
        </w:tc>
        <w:tc>
          <w:p>
            <w:pPr>
              <w:pStyle w:val="Compact"/>
              <w:jc w:val="right"/>
            </w:pPr>
            <w:r>
              <w:t xml:space="preserve">1.84</w:t>
            </w:r>
          </w:p>
        </w:tc>
        <w:tc>
          <w:p>
            <w:pPr>
              <w:pStyle w:val="Compact"/>
              <w:jc w:val="right"/>
            </w:pPr>
            <w:r>
              <w:t xml:space="preserve">3.42</w:t>
            </w:r>
          </w:p>
        </w:tc>
        <w:tc>
          <w:p>
            <w:pPr>
              <w:pStyle w:val="Compact"/>
              <w:jc w:val="right"/>
            </w:pPr>
            <w:r>
              <w:t xml:space="preserve">9.04</w:t>
            </w:r>
          </w:p>
        </w:tc>
      </w:tr>
      <w:tr>
        <w:tc>
          <w:p>
            <w:pPr>
              <w:pStyle w:val="Compact"/>
              <w:jc w:val="left"/>
            </w:pPr>
            <w:r>
              <w:t xml:space="preserve">LeechHead</w:t>
            </w:r>
          </w:p>
        </w:tc>
        <w:tc>
          <w:p>
            <w:pPr>
              <w:pStyle w:val="Compact"/>
              <w:jc w:val="right"/>
            </w:pPr>
            <w:r>
              <w:t xml:space="preserve">22</w:t>
            </w:r>
          </w:p>
        </w:tc>
        <w:tc>
          <w:p>
            <w:pPr>
              <w:pStyle w:val="Compact"/>
              <w:jc w:val="right"/>
            </w:pPr>
            <w:r>
              <w:t xml:space="preserve">6.8</w:t>
            </w:r>
          </w:p>
        </w:tc>
        <w:tc>
          <w:p>
            <w:pPr>
              <w:pStyle w:val="Compact"/>
              <w:jc w:val="right"/>
            </w:pPr>
            <w:r>
              <w:t xml:space="preserve">1.6</w:t>
            </w:r>
          </w:p>
        </w:tc>
        <w:tc>
          <w:p>
            <w:pPr>
              <w:pStyle w:val="Compact"/>
              <w:jc w:val="right"/>
            </w:pPr>
            <w:r>
              <w:t xml:space="preserve">3.99</w:t>
            </w:r>
          </w:p>
        </w:tc>
        <w:tc>
          <w:p>
            <w:pPr>
              <w:pStyle w:val="Compact"/>
              <w:jc w:val="right"/>
            </w:pPr>
            <w:r>
              <w:t xml:space="preserve">6.49</w:t>
            </w:r>
          </w:p>
        </w:tc>
        <w:tc>
          <w:p>
            <w:pPr>
              <w:pStyle w:val="Compact"/>
              <w:jc w:val="right"/>
            </w:pPr>
            <w:r>
              <w:t xml:space="preserve">11.64</w:t>
            </w:r>
          </w:p>
        </w:tc>
      </w:tr>
      <w:tr>
        <w:tc>
          <w:p>
            <w:pPr>
              <w:pStyle w:val="Compact"/>
              <w:jc w:val="left"/>
            </w:pPr>
            <w:r>
              <w:t xml:space="preserve">Jarvis-crk</w:t>
            </w:r>
          </w:p>
        </w:tc>
        <w:tc>
          <w:p>
            <w:pPr>
              <w:pStyle w:val="Compact"/>
              <w:jc w:val="right"/>
            </w:pPr>
            <w:r>
              <w:t xml:space="preserve">14</w:t>
            </w:r>
          </w:p>
        </w:tc>
        <w:tc>
          <w:p>
            <w:pPr>
              <w:pStyle w:val="Compact"/>
              <w:jc w:val="right"/>
            </w:pPr>
            <w:r>
              <w:t xml:space="preserve">9.8</w:t>
            </w:r>
          </w:p>
        </w:tc>
        <w:tc>
          <w:p>
            <w:pPr>
              <w:pStyle w:val="Compact"/>
              <w:jc w:val="right"/>
            </w:pPr>
            <w:r>
              <w:t xml:space="preserve">2.7</w:t>
            </w:r>
          </w:p>
        </w:tc>
        <w:tc>
          <w:p>
            <w:pPr>
              <w:pStyle w:val="Compact"/>
              <w:jc w:val="right"/>
            </w:pPr>
            <w:r>
              <w:t xml:space="preserve">5.92</w:t>
            </w:r>
          </w:p>
        </w:tc>
        <w:tc>
          <w:p>
            <w:pPr>
              <w:pStyle w:val="Compact"/>
              <w:jc w:val="right"/>
            </w:pPr>
            <w:r>
              <w:t xml:space="preserve">10.03</w:t>
            </w:r>
          </w:p>
        </w:tc>
        <w:tc>
          <w:p>
            <w:pPr>
              <w:pStyle w:val="Compact"/>
              <w:jc w:val="right"/>
            </w:pPr>
            <w:r>
              <w:t xml:space="preserve">16.73</w:t>
            </w:r>
          </w:p>
        </w:tc>
      </w:tr>
      <w:tr>
        <w:tc>
          <w:p>
            <w:pPr>
              <w:pStyle w:val="Compact"/>
              <w:jc w:val="left"/>
            </w:pPr>
            <w:r>
              <w:t xml:space="preserve">Lazar-crk</w:t>
            </w:r>
          </w:p>
        </w:tc>
        <w:tc>
          <w:p>
            <w:pPr>
              <w:pStyle w:val="Compact"/>
              <w:jc w:val="right"/>
            </w:pPr>
            <w:r>
              <w:t xml:space="preserve">11</w:t>
            </w:r>
          </w:p>
        </w:tc>
        <w:tc>
          <w:p>
            <w:pPr>
              <w:pStyle w:val="Compact"/>
              <w:jc w:val="right"/>
            </w:pPr>
            <w:r>
              <w:t xml:space="preserve">6.3</w:t>
            </w:r>
          </w:p>
        </w:tc>
        <w:tc>
          <w:p>
            <w:pPr>
              <w:pStyle w:val="Compact"/>
              <w:jc w:val="right"/>
            </w:pPr>
            <w:r>
              <w:t xml:space="preserve">1.6</w:t>
            </w:r>
          </w:p>
        </w:tc>
        <w:tc>
          <w:p>
            <w:pPr>
              <w:pStyle w:val="Compact"/>
              <w:jc w:val="right"/>
            </w:pPr>
            <w:r>
              <w:t xml:space="preserve">3.69</w:t>
            </w:r>
          </w:p>
        </w:tc>
        <w:tc>
          <w:p>
            <w:pPr>
              <w:pStyle w:val="Compact"/>
              <w:jc w:val="right"/>
            </w:pPr>
            <w:r>
              <w:t xml:space="preserve">6.53</w:t>
            </w:r>
          </w:p>
        </w:tc>
        <w:tc>
          <w:p>
            <w:pPr>
              <w:pStyle w:val="Compact"/>
              <w:jc w:val="right"/>
            </w:pPr>
            <w:r>
              <w:t xml:space="preserve">8.65</w:t>
            </w:r>
          </w:p>
        </w:tc>
      </w:tr>
      <w:tr>
        <w:tc>
          <w:p>
            <w:pPr>
              <w:pStyle w:val="Compact"/>
              <w:jc w:val="left"/>
            </w:pPr>
            <w:r>
              <w:t xml:space="preserve">CraggCrk</w:t>
            </w:r>
          </w:p>
        </w:tc>
        <w:tc>
          <w:p>
            <w:pPr>
              <w:pStyle w:val="Compact"/>
              <w:jc w:val="right"/>
            </w:pPr>
            <w:r>
              <w:t xml:space="preserve">34</w:t>
            </w:r>
          </w:p>
        </w:tc>
        <w:tc>
          <w:p>
            <w:pPr>
              <w:pStyle w:val="Compact"/>
              <w:jc w:val="right"/>
            </w:pPr>
            <w:r>
              <w:t xml:space="preserve">4.2</w:t>
            </w:r>
          </w:p>
        </w:tc>
        <w:tc>
          <w:p>
            <w:pPr>
              <w:pStyle w:val="Compact"/>
              <w:jc w:val="right"/>
            </w:pPr>
            <w:r>
              <w:t xml:space="preserve">1.2</w:t>
            </w:r>
          </w:p>
        </w:tc>
        <w:tc>
          <w:p>
            <w:pPr>
              <w:pStyle w:val="Compact"/>
              <w:jc w:val="right"/>
            </w:pPr>
            <w:r>
              <w:t xml:space="preserve">1.79</w:t>
            </w:r>
          </w:p>
        </w:tc>
        <w:tc>
          <w:p>
            <w:pPr>
              <w:pStyle w:val="Compact"/>
              <w:jc w:val="right"/>
            </w:pPr>
            <w:r>
              <w:t xml:space="preserve">3.90</w:t>
            </w:r>
          </w:p>
        </w:tc>
        <w:tc>
          <w:p>
            <w:pPr>
              <w:pStyle w:val="Compact"/>
              <w:jc w:val="right"/>
            </w:pPr>
            <w:r>
              <w:t xml:space="preserve">7.47</w:t>
            </w:r>
          </w:p>
        </w:tc>
      </w:tr>
      <w:tr>
        <w:tc>
          <w:p>
            <w:pPr>
              <w:pStyle w:val="Compact"/>
              <w:jc w:val="left"/>
            </w:pPr>
            <w:r>
              <w:t xml:space="preserve">WestLeech</w:t>
            </w:r>
          </w:p>
        </w:tc>
        <w:tc>
          <w:p>
            <w:pPr>
              <w:pStyle w:val="Compact"/>
              <w:jc w:val="right"/>
            </w:pPr>
            <w:r>
              <w:t xml:space="preserve">24</w:t>
            </w:r>
          </w:p>
        </w:tc>
        <w:tc>
          <w:p>
            <w:pPr>
              <w:pStyle w:val="Compact"/>
              <w:jc w:val="right"/>
            </w:pPr>
            <w:r>
              <w:t xml:space="preserve">4.3</w:t>
            </w:r>
          </w:p>
        </w:tc>
        <w:tc>
          <w:p>
            <w:pPr>
              <w:pStyle w:val="Compact"/>
              <w:jc w:val="right"/>
            </w:pPr>
            <w:r>
              <w:t xml:space="preserve">1.7</w:t>
            </w:r>
          </w:p>
        </w:tc>
        <w:tc>
          <w:p>
            <w:pPr>
              <w:pStyle w:val="Compact"/>
              <w:jc w:val="right"/>
            </w:pPr>
            <w:r>
              <w:t xml:space="preserve">2.00</w:t>
            </w:r>
          </w:p>
        </w:tc>
        <w:tc>
          <w:p>
            <w:pPr>
              <w:pStyle w:val="Compact"/>
              <w:jc w:val="right"/>
            </w:pPr>
            <w:r>
              <w:t xml:space="preserve">4.25</w:t>
            </w:r>
          </w:p>
        </w:tc>
        <w:tc>
          <w:p>
            <w:pPr>
              <w:pStyle w:val="Compact"/>
              <w:jc w:val="right"/>
            </w:pPr>
            <w:r>
              <w:t xml:space="preserve">9.08</w:t>
            </w:r>
          </w:p>
        </w:tc>
      </w:tr>
      <w:tr>
        <w:tc>
          <w:p>
            <w:pPr>
              <w:pStyle w:val="Compact"/>
              <w:jc w:val="left"/>
            </w:pPr>
            <w:r>
              <w:t xml:space="preserve">Leech-Beach</w:t>
            </w:r>
          </w:p>
        </w:tc>
        <w:tc>
          <w:p>
            <w:pPr>
              <w:pStyle w:val="Compact"/>
              <w:jc w:val="right"/>
            </w:pPr>
            <w:r>
              <w:t xml:space="preserve">3</w:t>
            </w:r>
          </w:p>
        </w:tc>
        <w:tc>
          <w:p>
            <w:pPr>
              <w:pStyle w:val="Compact"/>
              <w:jc w:val="right"/>
            </w:pPr>
            <w:r>
              <w:t xml:space="preserve">4.7</w:t>
            </w:r>
          </w:p>
        </w:tc>
        <w:tc>
          <w:p>
            <w:pPr>
              <w:pStyle w:val="Compact"/>
              <w:jc w:val="right"/>
            </w:pPr>
            <w:r>
              <w:t xml:space="preserve">1.2</w:t>
            </w:r>
          </w:p>
        </w:tc>
        <w:tc>
          <w:p>
            <w:pPr>
              <w:pStyle w:val="Compact"/>
              <w:jc w:val="right"/>
            </w:pPr>
            <w:r>
              <w:t xml:space="preserve">3.27</w:t>
            </w:r>
          </w:p>
        </w:tc>
        <w:tc>
          <w:p>
            <w:pPr>
              <w:pStyle w:val="Compact"/>
              <w:jc w:val="right"/>
            </w:pPr>
            <w:r>
              <w:t xml:space="preserve">5.12</w:t>
            </w:r>
          </w:p>
        </w:tc>
        <w:tc>
          <w:p>
            <w:pPr>
              <w:pStyle w:val="Compact"/>
              <w:jc w:val="right"/>
            </w:pPr>
            <w:r>
              <w:t xml:space="preserve">5.57</w:t>
            </w:r>
          </w:p>
        </w:tc>
      </w:tr>
      <w:tr>
        <w:tc>
          <w:p>
            <w:pPr>
              <w:pStyle w:val="Compact"/>
              <w:jc w:val="left"/>
            </w:pPr>
            <w:r>
              <w:t xml:space="preserve">Tunnel</w:t>
            </w:r>
          </w:p>
        </w:tc>
        <w:tc>
          <w:p>
            <w:pPr>
              <w:pStyle w:val="Compact"/>
              <w:jc w:val="right"/>
            </w:pPr>
            <w:r>
              <w:t xml:space="preserve">40</w:t>
            </w:r>
          </w:p>
        </w:tc>
        <w:tc>
          <w:p>
            <w:pPr>
              <w:pStyle w:val="Compact"/>
              <w:jc w:val="right"/>
            </w:pPr>
            <w:r>
              <w:t xml:space="preserve">4.2</w:t>
            </w:r>
          </w:p>
        </w:tc>
        <w:tc>
          <w:p>
            <w:pPr>
              <w:pStyle w:val="Compact"/>
              <w:jc w:val="right"/>
            </w:pPr>
            <w:r>
              <w:t xml:space="preserve">1.7</w:t>
            </w:r>
          </w:p>
        </w:tc>
        <w:tc>
          <w:p>
            <w:pPr>
              <w:pStyle w:val="Compact"/>
              <w:jc w:val="right"/>
            </w:pPr>
            <w:r>
              <w:t xml:space="preserve">1.65</w:t>
            </w:r>
          </w:p>
        </w:tc>
        <w:tc>
          <w:p>
            <w:pPr>
              <w:pStyle w:val="Compact"/>
              <w:jc w:val="right"/>
            </w:pPr>
            <w:r>
              <w:t xml:space="preserve">3.86</w:t>
            </w:r>
          </w:p>
        </w:tc>
        <w:tc>
          <w:p>
            <w:pPr>
              <w:pStyle w:val="Compact"/>
              <w:jc w:val="right"/>
            </w:pPr>
            <w:r>
              <w:t xml:space="preserve">8.85</w:t>
            </w:r>
          </w:p>
        </w:tc>
      </w:tr>
      <w:tr>
        <w:tc>
          <w:p>
            <w:pPr>
              <w:pStyle w:val="Compact"/>
              <w:jc w:val="left"/>
            </w:pPr>
            <w:r>
              <w:t xml:space="preserve">Rithet-crk</w:t>
            </w:r>
          </w:p>
        </w:tc>
        <w:tc>
          <w:p>
            <w:pPr>
              <w:pStyle w:val="Compact"/>
              <w:jc w:val="right"/>
            </w:pPr>
            <w:r>
              <w:t xml:space="preserve">15</w:t>
            </w:r>
          </w:p>
        </w:tc>
        <w:tc>
          <w:p>
            <w:pPr>
              <w:pStyle w:val="Compact"/>
              <w:jc w:val="right"/>
            </w:pPr>
            <w:r>
              <w:t xml:space="preserve">6.2</w:t>
            </w:r>
          </w:p>
        </w:tc>
        <w:tc>
          <w:p>
            <w:pPr>
              <w:pStyle w:val="Compact"/>
              <w:jc w:val="right"/>
            </w:pPr>
            <w:r>
              <w:t xml:space="preserve">4.2</w:t>
            </w:r>
          </w:p>
        </w:tc>
        <w:tc>
          <w:p>
            <w:pPr>
              <w:pStyle w:val="Compact"/>
              <w:jc w:val="right"/>
            </w:pPr>
            <w:r>
              <w:t xml:space="preserve">1.64</w:t>
            </w:r>
          </w:p>
        </w:tc>
        <w:tc>
          <w:p>
            <w:pPr>
              <w:pStyle w:val="Compact"/>
              <w:jc w:val="right"/>
            </w:pPr>
            <w:r>
              <w:t xml:space="preserve">3.85</w:t>
            </w:r>
          </w:p>
        </w:tc>
        <w:tc>
          <w:p>
            <w:pPr>
              <w:pStyle w:val="Compact"/>
              <w:jc w:val="right"/>
            </w:pPr>
            <w:r>
              <w:t xml:space="preserve">12.68</w:t>
            </w:r>
          </w:p>
        </w:tc>
      </w:tr>
      <w:tr>
        <w:tc>
          <w:p>
            <w:pPr>
              <w:pStyle w:val="Compact"/>
              <w:jc w:val="left"/>
            </w:pPr>
            <w:r>
              <w:t xml:space="preserve">Judge-crk</w:t>
            </w:r>
          </w:p>
        </w:tc>
        <w:tc>
          <w:p>
            <w:pPr>
              <w:pStyle w:val="Compact"/>
              <w:jc w:val="right"/>
            </w:pPr>
            <w:r>
              <w:t xml:space="preserve">8</w:t>
            </w:r>
          </w:p>
        </w:tc>
        <w:tc>
          <w:p>
            <w:pPr>
              <w:pStyle w:val="Compact"/>
              <w:jc w:val="right"/>
            </w:pPr>
            <w:r>
              <w:t xml:space="preserve">8.3</w:t>
            </w:r>
          </w:p>
        </w:tc>
        <w:tc>
          <w:p>
            <w:pPr>
              <w:pStyle w:val="Compact"/>
              <w:jc w:val="right"/>
            </w:pPr>
            <w:r>
              <w:t xml:space="preserve">5.0</w:t>
            </w:r>
          </w:p>
        </w:tc>
        <w:tc>
          <w:p>
            <w:pPr>
              <w:pStyle w:val="Compact"/>
              <w:jc w:val="right"/>
            </w:pPr>
            <w:r>
              <w:t xml:space="preserve">4.42</w:t>
            </w:r>
          </w:p>
        </w:tc>
        <w:tc>
          <w:p>
            <w:pPr>
              <w:pStyle w:val="Compact"/>
              <w:jc w:val="right"/>
            </w:pPr>
            <w:r>
              <w:t xml:space="preserve">5.90</w:t>
            </w:r>
          </w:p>
        </w:tc>
        <w:tc>
          <w:p>
            <w:pPr>
              <w:pStyle w:val="Compact"/>
              <w:jc w:val="right"/>
            </w:pPr>
            <w:r>
              <w:t xml:space="preserve">17.25</w:t>
            </w:r>
          </w:p>
        </w:tc>
      </w:tr>
      <w:tr>
        <w:tc>
          <w:p>
            <w:pPr>
              <w:pStyle w:val="Compact"/>
              <w:jc w:val="left"/>
            </w:pPr>
            <w:r>
              <w:t xml:space="preserve">Deception-res</w:t>
            </w:r>
          </w:p>
        </w:tc>
        <w:tc>
          <w:p>
            <w:pPr>
              <w:pStyle w:val="Compact"/>
              <w:jc w:val="right"/>
            </w:pPr>
            <w:r>
              <w:t xml:space="preserve">3</w:t>
            </w:r>
          </w:p>
        </w:tc>
        <w:tc>
          <w:p>
            <w:pPr>
              <w:pStyle w:val="Compact"/>
              <w:jc w:val="right"/>
            </w:pPr>
            <w:r>
              <w:t xml:space="preserve">4.9</w:t>
            </w:r>
          </w:p>
        </w:tc>
        <w:tc>
          <w:p>
            <w:pPr>
              <w:pStyle w:val="Compact"/>
              <w:jc w:val="right"/>
            </w:pPr>
            <w:r>
              <w:t xml:space="preserve">2.0</w:t>
            </w:r>
          </w:p>
        </w:tc>
        <w:tc>
          <w:p>
            <w:pPr>
              <w:pStyle w:val="Compact"/>
              <w:jc w:val="right"/>
            </w:pPr>
            <w:r>
              <w:t xml:space="preserve">3.10</w:t>
            </w:r>
          </w:p>
        </w:tc>
        <w:tc>
          <w:p>
            <w:pPr>
              <w:pStyle w:val="Compact"/>
              <w:jc w:val="right"/>
            </w:pPr>
            <w:r>
              <w:t xml:space="preserve">4.51</w:t>
            </w:r>
          </w:p>
        </w:tc>
        <w:tc>
          <w:p>
            <w:pPr>
              <w:pStyle w:val="Compact"/>
              <w:jc w:val="right"/>
            </w:pPr>
            <w:r>
              <w:t xml:space="preserve">6.96</w:t>
            </w:r>
          </w:p>
        </w:tc>
      </w:tr>
      <w:tr>
        <w:tc>
          <w:p>
            <w:pPr>
              <w:pStyle w:val="Compact"/>
              <w:jc w:val="left"/>
            </w:pPr>
            <w:r>
              <w:t xml:space="preserve">Boneyard</w:t>
            </w:r>
          </w:p>
        </w:tc>
        <w:tc>
          <w:p>
            <w:pPr>
              <w:pStyle w:val="Compact"/>
              <w:jc w:val="right"/>
            </w:pPr>
            <w:r>
              <w:t xml:space="preserve">7</w:t>
            </w:r>
          </w:p>
        </w:tc>
        <w:tc>
          <w:p>
            <w:pPr>
              <w:pStyle w:val="Compact"/>
              <w:jc w:val="right"/>
            </w:pPr>
            <w:r>
              <w:t xml:space="preserve">2.9</w:t>
            </w:r>
          </w:p>
        </w:tc>
        <w:tc>
          <w:p>
            <w:pPr>
              <w:pStyle w:val="Compact"/>
              <w:jc w:val="right"/>
            </w:pPr>
            <w:r>
              <w:t xml:space="preserve">1.7</w:t>
            </w:r>
          </w:p>
        </w:tc>
        <w:tc>
          <w:p>
            <w:pPr>
              <w:pStyle w:val="Compact"/>
              <w:jc w:val="right"/>
            </w:pPr>
            <w:r>
              <w:t xml:space="preserve">1.83</w:t>
            </w:r>
          </w:p>
        </w:tc>
        <w:tc>
          <w:p>
            <w:pPr>
              <w:pStyle w:val="Compact"/>
              <w:jc w:val="right"/>
            </w:pPr>
            <w:r>
              <w:t xml:space="preserve">1.88</w:t>
            </w:r>
          </w:p>
        </w:tc>
        <w:tc>
          <w:p>
            <w:pPr>
              <w:pStyle w:val="Compact"/>
              <w:jc w:val="right"/>
            </w:pPr>
            <w:r>
              <w:t xml:space="preserve">5.36</w:t>
            </w:r>
          </w:p>
        </w:tc>
      </w:tr>
      <w:tr>
        <w:tc>
          <w:p>
            <w:pPr>
              <w:pStyle w:val="Compact"/>
              <w:jc w:val="left"/>
            </w:pPr>
            <w:r>
              <w:t xml:space="preserve">total summary</w:t>
            </w:r>
          </w:p>
        </w:tc>
        <w:tc>
          <w:p>
            <w:pPr>
              <w:pStyle w:val="Compact"/>
              <w:jc w:val="right"/>
            </w:pPr>
            <w:r>
              <w:t xml:space="preserve">227</w:t>
            </w:r>
          </w:p>
        </w:tc>
        <w:tc>
          <w:p>
            <w:pPr>
              <w:pStyle w:val="Compact"/>
              <w:jc w:val="right"/>
            </w:pPr>
            <w:r>
              <w:t xml:space="preserve">5.8</w:t>
            </w:r>
          </w:p>
        </w:tc>
        <w:tc>
          <w:p>
            <w:pPr>
              <w:pStyle w:val="Compact"/>
              <w:jc w:val="right"/>
            </w:pPr>
            <w:r>
              <w:t xml:space="preserve">3.1</w:t>
            </w:r>
          </w:p>
        </w:tc>
        <w:tc>
          <w:p>
            <w:pPr>
              <w:pStyle w:val="Compact"/>
              <w:jc w:val="right"/>
            </w:pPr>
            <w:r>
              <w:t xml:space="preserve">1.64</w:t>
            </w:r>
          </w:p>
        </w:tc>
        <w:tc>
          <w:p>
            <w:pPr>
              <w:pStyle w:val="Compact"/>
              <w:jc w:val="right"/>
            </w:pPr>
            <w:r>
              <w:t xml:space="preserve">5.18</w:t>
            </w:r>
          </w:p>
        </w:tc>
        <w:tc>
          <w:p>
            <w:pPr>
              <w:pStyle w:val="Compact"/>
              <w:jc w:val="right"/>
            </w:pPr>
            <w:r>
              <w:t xml:space="preserve">18.74</w:t>
            </w:r>
          </w:p>
        </w:tc>
      </w:tr>
    </w:tbl>
    <w:p>
      <w:pPr>
        <w:pStyle w:val="BodyText"/>
      </w:pPr>
      <w:r>
        <w:br/>
      </w:r>
    </w:p>
    <w:p>
      <w:pPr>
        <w:pStyle w:val="BodyText"/>
      </w:pPr>
      <w:r>
        <w:t xml:space="preserve">Figure (</w:t>
      </w:r>
      <w:r>
        <w:t xml:space="preserve">11</w:t>
      </w:r>
      <w:r>
        <w:t xml:space="preserve">) shows the density distribution of DOC concentrations at each of the synoptically sampled sites. DOC concentrations were typically higher in headwater streams, particularly those associated with wetlands.</w:t>
      </w:r>
    </w:p>
    <w:p>
      <w:pPr>
        <w:pStyle w:val="BodyText"/>
      </w:pPr>
      <w:r>
        <w:br/>
      </w:r>
    </w:p>
    <w:p>
      <w:pPr>
        <w:pStyle w:val="CaptionedFigure"/>
      </w:pPr>
      <w:r>
        <w:drawing>
          <wp:inline>
            <wp:extent cx="5715000" cy="3527777"/>
            <wp:effectExtent b="0" l="0" r="0" t="0"/>
            <wp:docPr descr="Figure 11:  Density distribution of dissolved organic carbon concentrations resulting from synoptic sampling at 13 sites over 16 months (227 grab samples)." title="" id="1" name="Picture"/>
            <a:graphic>
              <a:graphicData uri="http://schemas.openxmlformats.org/drawingml/2006/picture">
                <pic:pic>
                  <pic:nvPicPr>
                    <pic:cNvPr descr="R-outputs_UBC-forWater-MSc_HMc/figures/DOC_syn_13sites_ridgeplots.png" id="0" name="Picture"/>
                    <pic:cNvPicPr>
                      <a:picLocks noChangeArrowheads="1" noChangeAspect="1"/>
                    </pic:cNvPicPr>
                  </pic:nvPicPr>
                  <pic:blipFill>
                    <a:blip r:embed="rId46"/>
                    <a:stretch>
                      <a:fillRect/>
                    </a:stretch>
                  </pic:blipFill>
                  <pic:spPr bwMode="auto">
                    <a:xfrm>
                      <a:off x="0" y="0"/>
                      <a:ext cx="5715000" cy="3527777"/>
                    </a:xfrm>
                    <a:prstGeom prst="rect">
                      <a:avLst/>
                    </a:prstGeom>
                    <a:noFill/>
                    <a:ln w="9525">
                      <a:noFill/>
                      <a:headEnd/>
                      <a:tailEnd/>
                    </a:ln>
                  </pic:spPr>
                </pic:pic>
              </a:graphicData>
            </a:graphic>
          </wp:inline>
        </w:drawing>
      </w:r>
    </w:p>
    <w:p>
      <w:pPr>
        <w:pStyle w:val="ImageCaption"/>
      </w:pPr>
      <w:r>
        <w:t xml:space="preserve">Figure 11:</w:t>
      </w:r>
      <w:r>
        <w:t xml:space="preserve"> </w:t>
      </w:r>
      <w:r>
        <w:t xml:space="preserve"> </w:t>
      </w:r>
      <w:r>
        <w:rPr>
          <w:i/>
        </w:rPr>
        <w:t xml:space="preserve">Density distribution of dissolved organic carbon concentrations resulting from synoptic sampling at 13 sites over 16 months (227 grab samples).</w:t>
      </w:r>
    </w:p>
    <w:p>
      <w:pPr>
        <w:pStyle w:val="Heading4"/>
      </w:pPr>
      <w:bookmarkStart w:id="47" w:name="X8a0529aaecb3335c81e1d77aadea32ee416aa9e"/>
      <w:r>
        <w:t xml:space="preserve">Seasonal patterns: UV-absorption as indicator of molecular character</w:t>
      </w:r>
      <w:bookmarkEnd w:id="47"/>
    </w:p>
    <w:p>
      <w:pPr>
        <w:pStyle w:val="FirstParagraph"/>
      </w:pPr>
      <w:r>
        <w:t xml:space="preserve">With samples collected over sixteen months, a seasonal assessment of source water character was possible. NOM molecules with greater aromaticity will absorb more UV energy at wavelength 254-nm than non-aromatic molecules; therefore, spectroscopic methods of estimating DOM are proxy measures of sample aromaticity (e.g., humic substances). Figure</w:t>
      </w:r>
      <w:r>
        <w:t xml:space="preserve"> </w:t>
      </w:r>
      <w:r>
        <w:t xml:space="preserve">12</w:t>
      </w:r>
      <w:r>
        <w:t xml:space="preserve"> </w:t>
      </w:r>
      <w:r>
        <w:t xml:space="preserve">shows DOC concentrations plotted against DOC estimates based on UV-Vis absorbance. The seasonal separation of wet an dry season samples suggests that river water during the wet-season (fall and winter) has more aromatic character than during the dry-season (summer).</w:t>
      </w:r>
    </w:p>
    <w:p>
      <w:pPr>
        <w:pStyle w:val="BodyText"/>
      </w:pPr>
      <w:r>
        <w:br/>
      </w:r>
    </w:p>
    <w:p>
      <w:pPr>
        <w:pStyle w:val="CaptionedFigure"/>
      </w:pPr>
      <w:r>
        <w:drawing>
          <wp:inline>
            <wp:extent cx="5715000" cy="5715000"/>
            <wp:effectExtent b="0" l="0" r="0" t="0"/>
            <wp:docPr descr="Figure 12:  Dissolved organic carbon measured directly (as NPOC) plotted against concentrations estimated via UV-Vis spectroscopy, with a dashed lined indicating best fit (1:1). The 282 samples are grouped by season (n{wet} = 237, n{first-flush} = 18, n{dry} = 27)." title="" id="1" name="Picture"/>
            <a:graphic>
              <a:graphicData uri="http://schemas.openxmlformats.org/drawingml/2006/picture">
                <pic:pic>
                  <pic:nvPicPr>
                    <pic:cNvPr descr="R-outputs_UBC-forWater-MSc_HMc/figures/DOC_seasonal_surrogate-NPOC.png" id="0" name="Picture"/>
                    <pic:cNvPicPr>
                      <a:picLocks noChangeArrowheads="1" noChangeAspect="1"/>
                    </pic:cNvPicPr>
                  </pic:nvPicPr>
                  <pic:blipFill>
                    <a:blip r:embed="rId48"/>
                    <a:stretch>
                      <a:fillRect/>
                    </a:stretch>
                  </pic:blipFill>
                  <pic:spPr bwMode="auto">
                    <a:xfrm>
                      <a:off x="0" y="0"/>
                      <a:ext cx="5715000" cy="5715000"/>
                    </a:xfrm>
                    <a:prstGeom prst="rect">
                      <a:avLst/>
                    </a:prstGeom>
                    <a:noFill/>
                    <a:ln w="9525">
                      <a:noFill/>
                      <a:headEnd/>
                      <a:tailEnd/>
                    </a:ln>
                  </pic:spPr>
                </pic:pic>
              </a:graphicData>
            </a:graphic>
          </wp:inline>
        </w:drawing>
      </w:r>
    </w:p>
    <w:p>
      <w:pPr>
        <w:pStyle w:val="ImageCaption"/>
      </w:pPr>
      <w:r>
        <w:t xml:space="preserve">Figure 12:</w:t>
      </w:r>
      <w:r>
        <w:t xml:space="preserve"> </w:t>
      </w:r>
      <w:r>
        <w:t xml:space="preserve"> </w:t>
      </w:r>
      <w:r>
        <w:rPr>
          <w:i/>
        </w:rPr>
        <w:t xml:space="preserve">Dissolved organic carbon measured directly (as NPOC) plotted against concentrations estimated via UV-Vis spectroscopy, with a dashed lined indicating best fit (1:1). The 282 samples are grouped by season (n{wet} = 237, n{first-flush} = 18, n{dry} = 27).</w:t>
      </w:r>
    </w:p>
    <w:p>
      <w:pPr>
        <w:pStyle w:val="BodyText"/>
      </w:pPr>
      <w:r>
        <w:t xml:space="preserve">Figure</w:t>
      </w:r>
      <w:r>
        <w:t xml:space="preserve"> </w:t>
      </w:r>
      <w:r>
        <w:t xml:space="preserve">12</w:t>
      </w:r>
      <w:r>
        <w:t xml:space="preserve"> </w:t>
      </w:r>
      <w:r>
        <w:t xml:space="preserve">showed that characteristics of wet-season samples caused positive bias in absorbance-based DOC estimates, while dry-season samples showed negative bias in DOC estimated by UV-Vis absorption.</w:t>
      </w:r>
    </w:p>
    <w:p>
      <w:pPr>
        <w:pStyle w:val="BodyText"/>
      </w:pPr>
      <w:r>
        <w:t xml:space="preserve">While an aromatic NOM sample will have stronger absorbance at 254-nm relative to a non-aromatic sample, the concentration of NOM also effects the intensity of absorbance (based on the Beer-Lambert law). Because UV-Vis absorbance is proportional to both the aromaticity and the concentration of NOM in a sample, SUVA</w:t>
      </w:r>
      <w:r>
        <w:rPr>
          <w:vertAlign w:val="subscript"/>
        </w:rPr>
        <w:t xml:space="preserve">254</w:t>
      </w:r>
      <w:r>
        <w:t xml:space="preserve"> </w:t>
      </w:r>
      <w:r>
        <w:t xml:space="preserve">is a widely adopted indicator of a sample’s aromaticity. SUVA</w:t>
      </w:r>
      <w:r>
        <w:rPr>
          <w:vertAlign w:val="subscript"/>
        </w:rPr>
        <w:t xml:space="preserve">254</w:t>
      </w:r>
      <w:r>
        <w:t xml:space="preserve">, specific UV absorbance at 254-nm, is calculated by dividing a sample’s absorbance at 254-nm by its DOC concentration; a greater SUVA</w:t>
      </w:r>
      <w:r>
        <w:rPr>
          <w:vertAlign w:val="subscript"/>
        </w:rPr>
        <w:t xml:space="preserve">254</w:t>
      </w:r>
      <w:r>
        <w:t xml:space="preserve"> </w:t>
      </w:r>
      <w:r>
        <w:t xml:space="preserve">value indicates a sample with more aromatic character than a sample with low SUVA</w:t>
      </w:r>
      <w:r>
        <w:rPr>
          <w:vertAlign w:val="subscript"/>
        </w:rPr>
        <w:t xml:space="preserve">254</w:t>
      </w:r>
      <w:r>
        <w:t xml:space="preserve">. Figure</w:t>
      </w:r>
      <w:r>
        <w:t xml:space="preserve"> </w:t>
      </w:r>
      <w:r>
        <w:t xml:space="preserve">13</w:t>
      </w:r>
      <w:r>
        <w:t xml:space="preserve"> </w:t>
      </w:r>
      <w:r>
        <w:t xml:space="preserve">shows seasonally grouped samples’ DOC plotted against SUVA</w:t>
      </w:r>
      <w:r>
        <w:rPr>
          <w:vertAlign w:val="subscript"/>
        </w:rPr>
        <w:t xml:space="preserve">254</w:t>
      </w:r>
      <w:r>
        <w:t xml:space="preserve">, which indicates a greater aromatic character of river water during the wet season compared to dry season.</w:t>
      </w:r>
    </w:p>
    <w:p>
      <w:pPr>
        <w:pStyle w:val="BodyText"/>
      </w:pPr>
      <w:r>
        <w:br/>
      </w:r>
    </w:p>
    <w:p>
      <w:pPr>
        <w:pStyle w:val="CaptionedFigure"/>
      </w:pPr>
      <w:r>
        <w:drawing>
          <wp:inline>
            <wp:extent cx="5715000" cy="3527777"/>
            <wp:effectExtent b="0" l="0" r="0" t="0"/>
            <wp:docPr descr="Figure 13:  Dissolved organic carbon plotted against specific UV absorbance at 254 nm (SUVA{254}) with samples (n = 282) grouped by season (n{wet} = 237, n{first-flush} = 18, n{dry} = 27) showing greater aromaticity (more humic-like organic matter) in wet season samples." title="" id="1" name="Picture"/>
            <a:graphic>
              <a:graphicData uri="http://schemas.openxmlformats.org/drawingml/2006/picture">
                <pic:pic>
                  <pic:nvPicPr>
                    <pic:cNvPr descr="R-outputs_UBC-forWater-MSc_HMc/figures/DOC_seasonal_SUVA-NPOC.png" id="0" name="Picture"/>
                    <pic:cNvPicPr>
                      <a:picLocks noChangeArrowheads="1" noChangeAspect="1"/>
                    </pic:cNvPicPr>
                  </pic:nvPicPr>
                  <pic:blipFill>
                    <a:blip r:embed="rId49"/>
                    <a:stretch>
                      <a:fillRect/>
                    </a:stretch>
                  </pic:blipFill>
                  <pic:spPr bwMode="auto">
                    <a:xfrm>
                      <a:off x="0" y="0"/>
                      <a:ext cx="5715000" cy="3527777"/>
                    </a:xfrm>
                    <a:prstGeom prst="rect">
                      <a:avLst/>
                    </a:prstGeom>
                    <a:noFill/>
                    <a:ln w="9525">
                      <a:noFill/>
                      <a:headEnd/>
                      <a:tailEnd/>
                    </a:ln>
                  </pic:spPr>
                </pic:pic>
              </a:graphicData>
            </a:graphic>
          </wp:inline>
        </w:drawing>
      </w:r>
    </w:p>
    <w:p>
      <w:pPr>
        <w:pStyle w:val="ImageCaption"/>
      </w:pPr>
      <w:r>
        <w:t xml:space="preserve">Figure 13:</w:t>
      </w:r>
      <w:r>
        <w:t xml:space="preserve"> </w:t>
      </w:r>
      <w:r>
        <w:t xml:space="preserve"> </w:t>
      </w:r>
      <w:r>
        <w:rPr>
          <w:i/>
        </w:rPr>
        <w:t xml:space="preserve">Dissolved organic carbon plotted against specific UV absorbance at 254 nm (SUVA{254}) with samples (n = 282) grouped by season (n{wet} = 237, n{first-flush} = 18, n{dry} = 27) showing greater aromaticity (more humic-like organic matter) in wet season samples.</w:t>
      </w:r>
    </w:p>
    <w:p>
      <w:pPr>
        <w:pStyle w:val="Heading2"/>
      </w:pPr>
      <w:bookmarkStart w:id="50" w:name="X055c1400fca1babce2e75fd4f6bab6cd3a5b7c1"/>
      <w:r>
        <w:t xml:space="preserve">Leech watershed and nested sub-catchments</w:t>
      </w:r>
      <w:bookmarkEnd w:id="50"/>
    </w:p>
    <w:p>
      <w:pPr>
        <w:pStyle w:val="FirstParagraph"/>
      </w:pPr>
      <w:r>
        <w:t xml:space="preserve">Six locations across the LWSA were set up as monitoring sites where vertical racks were installed to measure continuous stage and collect water samples as the rivers rose in response to precipitation events. These vertical racks collected samples on the rising hydrograph limb, which has been shown to have higher DOC concentration that non-storm flow</w:t>
      </w:r>
      <w:r>
        <w:t xml:space="preserve"> </w:t>
      </w:r>
      <w:r>
        <w:t xml:space="preserve">(Yang et al.</w:t>
      </w:r>
      <w:r>
        <w:t xml:space="preserve"> </w:t>
      </w:r>
      <w:hyperlink w:anchor="ref-Yang2015">
        <w:r>
          <w:rPr>
            <w:rStyle w:val="Hyperlink"/>
          </w:rPr>
          <w:t xml:space="preserve">2015</w:t>
        </w:r>
      </w:hyperlink>
      <w:r>
        <w:t xml:space="preserve">; Raymond et al.</w:t>
      </w:r>
      <w:r>
        <w:t xml:space="preserve"> </w:t>
      </w:r>
      <w:hyperlink w:anchor="ref-Raymond2016">
        <w:r>
          <w:rPr>
            <w:rStyle w:val="Hyperlink"/>
          </w:rPr>
          <w:t xml:space="preserve">2016</w:t>
        </w:r>
      </w:hyperlink>
      <w:r>
        <w:t xml:space="preserve">,</w:t>
      </w:r>
      <w:r>
        <w:t xml:space="preserve"> </w:t>
      </w:r>
      <w:hyperlink w:anchor="ref-Raymond2010">
        <w:r>
          <w:rPr>
            <w:rStyle w:val="Hyperlink"/>
          </w:rPr>
          <w:t xml:space="preserve">2010</w:t>
        </w:r>
      </w:hyperlink>
      <w:r>
        <w:t xml:space="preserve">)</w:t>
      </w:r>
      <w:r>
        <w:t xml:space="preserve">. Table</w:t>
      </w:r>
      <w:r>
        <w:t xml:space="preserve"> </w:t>
      </w:r>
      <w:r>
        <w:t xml:space="preserve">7</w:t>
      </w:r>
      <w:r>
        <w:t xml:space="preserve"> </w:t>
      </w:r>
      <w:r>
        <w:t xml:space="preserve">summarizes the number of samples collected manually (Grab samples) and via siphon bottles on the vertical racks (Rack samples) at each of the six monitoring sites.</w:t>
      </w:r>
    </w:p>
    <w:p>
      <w:pPr>
        <w:pStyle w:val="BodyText"/>
      </w:pPr>
      <w:r>
        <w:br/>
      </w:r>
    </w:p>
    <w:p>
      <w:pPr>
        <w:pStyle w:val="TableCaption"/>
      </w:pPr>
      <w:r>
        <w:t xml:space="preserve">Table 7:</w:t>
      </w:r>
      <w:r>
        <w:t xml:space="preserve"> </w:t>
      </w:r>
      <w:r>
        <w:rPr>
          <w:i/>
        </w:rPr>
        <w:t xml:space="preserve">Sample counts at the six LWSA monitoring sites</w:t>
      </w:r>
    </w:p>
    <w:tbl>
      <w:tblPr>
        <w:tblStyle w:val="Table"/>
        <w:tblW w:type="pct" w:w="0.0"/>
        <w:tblLook w:firstRow="1"/>
        <w:tblCaption w:val="Table 7: Sample counts at the six LWSA monitoring sites"/>
      </w:tblPr>
      <w:tblGrid/>
      <w:tr>
        <w:trPr>
          <w:cnfStyle w:firstRow="1"/>
        </w:trPr>
        <w:tc>
          <w:tcPr>
            <w:tcBorders>
              <w:bottom w:val="single"/>
            </w:tcBorders>
            <w:vAlign w:val="bottom"/>
          </w:tcPr>
          <w:p>
            <w:pPr>
              <w:pStyle w:val="Compact"/>
              <w:jc w:val="left"/>
            </w:pPr>
            <w:r>
              <w:t xml:space="preserve">Site</w:t>
            </w:r>
          </w:p>
        </w:tc>
        <w:tc>
          <w:tcPr>
            <w:tcBorders>
              <w:bottom w:val="single"/>
            </w:tcBorders>
            <w:vAlign w:val="bottom"/>
          </w:tcPr>
          <w:p>
            <w:pPr>
              <w:pStyle w:val="Compact"/>
              <w:jc w:val="left"/>
            </w:pPr>
            <w:r>
              <w:t xml:space="preserve">Sample type</w:t>
            </w:r>
          </w:p>
        </w:tc>
        <w:tc>
          <w:tcPr>
            <w:tcBorders>
              <w:bottom w:val="single"/>
            </w:tcBorders>
            <w:vAlign w:val="bottom"/>
          </w:tcPr>
          <w:p>
            <w:pPr>
              <w:pStyle w:val="Compact"/>
              <w:jc w:val="right"/>
            </w:pPr>
            <w:r>
              <w:t xml:space="preserve">Count</w:t>
            </w:r>
          </w:p>
        </w:tc>
      </w:tr>
      <w:tr>
        <w:tc>
          <w:p>
            <w:pPr>
              <w:pStyle w:val="Compact"/>
              <w:jc w:val="left"/>
            </w:pPr>
            <w:r>
              <w:t xml:space="preserve">Weeks</w:t>
            </w:r>
          </w:p>
        </w:tc>
        <w:tc>
          <w:p>
            <w:pPr>
              <w:pStyle w:val="Compact"/>
              <w:jc w:val="left"/>
            </w:pPr>
            <w:r>
              <w:t xml:space="preserve">Grab</w:t>
            </w:r>
          </w:p>
        </w:tc>
        <w:tc>
          <w:p>
            <w:pPr>
              <w:pStyle w:val="Compact"/>
              <w:jc w:val="right"/>
            </w:pPr>
            <w:r>
              <w:t xml:space="preserve">24</w:t>
            </w:r>
          </w:p>
        </w:tc>
      </w:tr>
      <w:tr>
        <w:tc>
          <w:p>
            <w:pPr>
              <w:pStyle w:val="Compact"/>
              <w:jc w:val="left"/>
            </w:pPr>
            <w:r>
              <w:t xml:space="preserve">Weeks</w:t>
            </w:r>
          </w:p>
        </w:tc>
        <w:tc>
          <w:p>
            <w:pPr>
              <w:pStyle w:val="Compact"/>
              <w:jc w:val="left"/>
            </w:pPr>
            <w:r>
              <w:t xml:space="preserve">Rack</w:t>
            </w:r>
          </w:p>
        </w:tc>
        <w:tc>
          <w:p>
            <w:pPr>
              <w:pStyle w:val="Compact"/>
              <w:jc w:val="right"/>
            </w:pPr>
            <w:r>
              <w:t xml:space="preserve">32</w:t>
            </w:r>
          </w:p>
        </w:tc>
      </w:tr>
      <w:tr>
        <w:tc>
          <w:p>
            <w:pPr>
              <w:pStyle w:val="Compact"/>
              <w:jc w:val="left"/>
            </w:pPr>
            <w:r>
              <w:t xml:space="preserve">ChrisCrk</w:t>
            </w:r>
          </w:p>
        </w:tc>
        <w:tc>
          <w:p>
            <w:pPr>
              <w:pStyle w:val="Compact"/>
              <w:jc w:val="left"/>
            </w:pPr>
            <w:r>
              <w:t xml:space="preserve">Grab</w:t>
            </w:r>
          </w:p>
        </w:tc>
        <w:tc>
          <w:p>
            <w:pPr>
              <w:pStyle w:val="Compact"/>
              <w:jc w:val="right"/>
            </w:pPr>
            <w:r>
              <w:t xml:space="preserve">22</w:t>
            </w:r>
          </w:p>
        </w:tc>
      </w:tr>
      <w:tr>
        <w:tc>
          <w:p>
            <w:pPr>
              <w:pStyle w:val="Compact"/>
              <w:jc w:val="left"/>
            </w:pPr>
            <w:r>
              <w:t xml:space="preserve">ChrisCrk</w:t>
            </w:r>
          </w:p>
        </w:tc>
        <w:tc>
          <w:p>
            <w:pPr>
              <w:pStyle w:val="Compact"/>
              <w:jc w:val="left"/>
            </w:pPr>
            <w:r>
              <w:t xml:space="preserve">Rack</w:t>
            </w:r>
          </w:p>
        </w:tc>
        <w:tc>
          <w:p>
            <w:pPr>
              <w:pStyle w:val="Compact"/>
              <w:jc w:val="right"/>
            </w:pPr>
            <w:r>
              <w:t xml:space="preserve">27</w:t>
            </w:r>
          </w:p>
        </w:tc>
      </w:tr>
      <w:tr>
        <w:tc>
          <w:p>
            <w:pPr>
              <w:pStyle w:val="Compact"/>
              <w:jc w:val="left"/>
            </w:pPr>
            <w:r>
              <w:t xml:space="preserve">LeechHead</w:t>
            </w:r>
          </w:p>
        </w:tc>
        <w:tc>
          <w:p>
            <w:pPr>
              <w:pStyle w:val="Compact"/>
              <w:jc w:val="left"/>
            </w:pPr>
            <w:r>
              <w:t xml:space="preserve">Grab</w:t>
            </w:r>
          </w:p>
        </w:tc>
        <w:tc>
          <w:p>
            <w:pPr>
              <w:pStyle w:val="Compact"/>
              <w:jc w:val="right"/>
            </w:pPr>
            <w:r>
              <w:t xml:space="preserve">22</w:t>
            </w:r>
          </w:p>
        </w:tc>
      </w:tr>
      <w:tr>
        <w:tc>
          <w:p>
            <w:pPr>
              <w:pStyle w:val="Compact"/>
              <w:jc w:val="left"/>
            </w:pPr>
            <w:r>
              <w:t xml:space="preserve">LeechHead</w:t>
            </w:r>
          </w:p>
        </w:tc>
        <w:tc>
          <w:p>
            <w:pPr>
              <w:pStyle w:val="Compact"/>
              <w:jc w:val="left"/>
            </w:pPr>
            <w:r>
              <w:t xml:space="preserve">Rack</w:t>
            </w:r>
          </w:p>
        </w:tc>
        <w:tc>
          <w:p>
            <w:pPr>
              <w:pStyle w:val="Compact"/>
              <w:jc w:val="right"/>
            </w:pPr>
            <w:r>
              <w:t xml:space="preserve">30</w:t>
            </w:r>
          </w:p>
        </w:tc>
      </w:tr>
      <w:tr>
        <w:tc>
          <w:p>
            <w:pPr>
              <w:pStyle w:val="Compact"/>
              <w:jc w:val="left"/>
            </w:pPr>
            <w:r>
              <w:t xml:space="preserve">CraggCrk</w:t>
            </w:r>
          </w:p>
        </w:tc>
        <w:tc>
          <w:p>
            <w:pPr>
              <w:pStyle w:val="Compact"/>
              <w:jc w:val="left"/>
            </w:pPr>
            <w:r>
              <w:t xml:space="preserve">Grab</w:t>
            </w:r>
          </w:p>
        </w:tc>
        <w:tc>
          <w:p>
            <w:pPr>
              <w:pStyle w:val="Compact"/>
              <w:jc w:val="right"/>
            </w:pPr>
            <w:r>
              <w:t xml:space="preserve">34</w:t>
            </w:r>
          </w:p>
        </w:tc>
      </w:tr>
      <w:tr>
        <w:tc>
          <w:p>
            <w:pPr>
              <w:pStyle w:val="Compact"/>
              <w:jc w:val="left"/>
            </w:pPr>
            <w:r>
              <w:t xml:space="preserve">CraggCrk</w:t>
            </w:r>
          </w:p>
        </w:tc>
        <w:tc>
          <w:p>
            <w:pPr>
              <w:pStyle w:val="Compact"/>
              <w:jc w:val="left"/>
            </w:pPr>
            <w:r>
              <w:t xml:space="preserve">Rack</w:t>
            </w:r>
          </w:p>
        </w:tc>
        <w:tc>
          <w:p>
            <w:pPr>
              <w:pStyle w:val="Compact"/>
              <w:jc w:val="right"/>
            </w:pPr>
            <w:r>
              <w:t xml:space="preserve">35</w:t>
            </w:r>
          </w:p>
        </w:tc>
      </w:tr>
      <w:tr>
        <w:tc>
          <w:p>
            <w:pPr>
              <w:pStyle w:val="Compact"/>
              <w:jc w:val="left"/>
            </w:pPr>
            <w:r>
              <w:t xml:space="preserve">WestLeech</w:t>
            </w:r>
          </w:p>
        </w:tc>
        <w:tc>
          <w:p>
            <w:pPr>
              <w:pStyle w:val="Compact"/>
              <w:jc w:val="left"/>
            </w:pPr>
            <w:r>
              <w:t xml:space="preserve">Grab</w:t>
            </w:r>
          </w:p>
        </w:tc>
        <w:tc>
          <w:p>
            <w:pPr>
              <w:pStyle w:val="Compact"/>
              <w:jc w:val="right"/>
            </w:pPr>
            <w:r>
              <w:t xml:space="preserve">24</w:t>
            </w:r>
          </w:p>
        </w:tc>
      </w:tr>
      <w:tr>
        <w:tc>
          <w:p>
            <w:pPr>
              <w:pStyle w:val="Compact"/>
              <w:jc w:val="left"/>
            </w:pPr>
            <w:r>
              <w:t xml:space="preserve">WestLeech</w:t>
            </w:r>
          </w:p>
        </w:tc>
        <w:tc>
          <w:p>
            <w:pPr>
              <w:pStyle w:val="Compact"/>
              <w:jc w:val="left"/>
            </w:pPr>
            <w:r>
              <w:t xml:space="preserve">Rack</w:t>
            </w:r>
          </w:p>
        </w:tc>
        <w:tc>
          <w:p>
            <w:pPr>
              <w:pStyle w:val="Compact"/>
              <w:jc w:val="right"/>
            </w:pPr>
            <w:r>
              <w:t xml:space="preserve">43</w:t>
            </w:r>
          </w:p>
        </w:tc>
      </w:tr>
      <w:tr>
        <w:tc>
          <w:p>
            <w:pPr>
              <w:pStyle w:val="Compact"/>
              <w:jc w:val="left"/>
            </w:pPr>
            <w:r>
              <w:t xml:space="preserve">Tunnel</w:t>
            </w:r>
          </w:p>
        </w:tc>
        <w:tc>
          <w:p>
            <w:pPr>
              <w:pStyle w:val="Compact"/>
              <w:jc w:val="left"/>
            </w:pPr>
            <w:r>
              <w:t xml:space="preserve">Grab</w:t>
            </w:r>
          </w:p>
        </w:tc>
        <w:tc>
          <w:p>
            <w:pPr>
              <w:pStyle w:val="Compact"/>
              <w:jc w:val="right"/>
            </w:pPr>
            <w:r>
              <w:t xml:space="preserve">40</w:t>
            </w:r>
          </w:p>
        </w:tc>
      </w:tr>
      <w:tr>
        <w:tc>
          <w:p>
            <w:pPr>
              <w:pStyle w:val="Compact"/>
              <w:jc w:val="left"/>
            </w:pPr>
            <w:r>
              <w:t xml:space="preserve">Tunnel</w:t>
            </w:r>
          </w:p>
        </w:tc>
        <w:tc>
          <w:p>
            <w:pPr>
              <w:pStyle w:val="Compact"/>
              <w:jc w:val="left"/>
            </w:pPr>
            <w:r>
              <w:t xml:space="preserve">Rack</w:t>
            </w:r>
          </w:p>
        </w:tc>
        <w:tc>
          <w:p>
            <w:pPr>
              <w:pStyle w:val="Compact"/>
              <w:jc w:val="right"/>
            </w:pPr>
            <w:r>
              <w:t xml:space="preserve">34</w:t>
            </w:r>
          </w:p>
        </w:tc>
      </w:tr>
    </w:tbl>
    <w:p>
      <w:pPr>
        <w:pStyle w:val="BodyText"/>
      </w:pPr>
      <w:r>
        <w:br/>
      </w:r>
    </w:p>
    <w:p>
      <w:pPr>
        <w:pStyle w:val="BodyText"/>
      </w:pPr>
      <w:r>
        <w:t xml:space="preserve">Figure</w:t>
      </w:r>
      <w:r>
        <w:t xml:space="preserve"> </w:t>
      </w:r>
      <w:r>
        <w:t xml:space="preserve">14</w:t>
      </w:r>
      <w:r>
        <w:t xml:space="preserve"> </w:t>
      </w:r>
      <w:r>
        <w:t xml:space="preserve">shows the range of DOC concentrations at each of the six sites.</w:t>
      </w:r>
    </w:p>
    <w:p>
      <w:pPr>
        <w:pStyle w:val="BodyText"/>
      </w:pPr>
      <w:r>
        <w:br/>
      </w:r>
    </w:p>
    <w:p>
      <w:pPr>
        <w:pStyle w:val="CaptionedFigure"/>
      </w:pPr>
      <w:r>
        <w:drawing>
          <wp:inline>
            <wp:extent cx="5715000" cy="3527777"/>
            <wp:effectExtent b="0" l="0" r="0" t="0"/>
            <wp:docPr descr="Figure 14:  Dissolved organic carbon concentrations across the Leech watershed over sixteen months (367 samples)." title="" id="1" name="Picture"/>
            <a:graphic>
              <a:graphicData uri="http://schemas.openxmlformats.org/drawingml/2006/picture">
                <pic:pic>
                  <pic:nvPicPr>
                    <pic:cNvPr descr="R-outputs_UBC-forWater-MSc_HMc/figures/DOC_subbasin_boxplots.png" id="0" name="Picture"/>
                    <pic:cNvPicPr>
                      <a:picLocks noChangeArrowheads="1" noChangeAspect="1"/>
                    </pic:cNvPicPr>
                  </pic:nvPicPr>
                  <pic:blipFill>
                    <a:blip r:embed="rId51"/>
                    <a:stretch>
                      <a:fillRect/>
                    </a:stretch>
                  </pic:blipFill>
                  <pic:spPr bwMode="auto">
                    <a:xfrm>
                      <a:off x="0" y="0"/>
                      <a:ext cx="5715000" cy="3527777"/>
                    </a:xfrm>
                    <a:prstGeom prst="rect">
                      <a:avLst/>
                    </a:prstGeom>
                    <a:noFill/>
                    <a:ln w="9525">
                      <a:noFill/>
                      <a:headEnd/>
                      <a:tailEnd/>
                    </a:ln>
                  </pic:spPr>
                </pic:pic>
              </a:graphicData>
            </a:graphic>
          </wp:inline>
        </w:drawing>
      </w:r>
    </w:p>
    <w:p>
      <w:pPr>
        <w:pStyle w:val="ImageCaption"/>
      </w:pPr>
      <w:r>
        <w:t xml:space="preserve">Figure 14:</w:t>
      </w:r>
      <w:r>
        <w:t xml:space="preserve"> </w:t>
      </w:r>
      <w:r>
        <w:t xml:space="preserve"> </w:t>
      </w:r>
      <w:r>
        <w:rPr>
          <w:i/>
        </w:rPr>
        <w:t xml:space="preserve">Dissolved organic carbon concentrations across the Leech watershed over sixteen months (367 samples).</w:t>
      </w:r>
    </w:p>
    <w:p>
      <w:pPr>
        <w:pStyle w:val="BodyText"/>
      </w:pPr>
      <w:r>
        <w:br/>
      </w:r>
    </w:p>
    <w:p>
      <w:pPr>
        <w:pStyle w:val="BodyText"/>
      </w:pPr>
      <w:r>
        <w:t xml:space="preserve">The Leech River Tunnel site (</w:t>
      </w:r>
      <w:r>
        <w:rPr>
          <w:i/>
        </w:rPr>
        <w:t xml:space="preserve">‘</w:t>
      </w:r>
      <w:r>
        <w:rPr>
          <w:i/>
        </w:rPr>
        <w:t xml:space="preserve">Tunnel</w:t>
      </w:r>
      <w:r>
        <w:rPr>
          <w:i/>
        </w:rPr>
        <w:t xml:space="preserve">’</w:t>
      </w:r>
      <w:r>
        <w:t xml:space="preserve">) is the effective outlet of the water supply area, as the tunnel will act as the point of diversion in future inter-basin transfer. Each of the five monitored sub catchments are effectively integrated at the tunnel site. Table</w:t>
      </w:r>
      <w:r>
        <w:t xml:space="preserve"> </w:t>
      </w:r>
      <w:r>
        <w:t xml:space="preserve">8</w:t>
      </w:r>
      <w:r>
        <w:t xml:space="preserve"> </w:t>
      </w:r>
      <w:r>
        <w:t xml:space="preserve">summarizes the range and variability in DOC within each site and among all sites.</w:t>
      </w:r>
    </w:p>
    <w:p>
      <w:pPr>
        <w:pStyle w:val="BodyText"/>
      </w:pPr>
      <w:r>
        <w:br/>
      </w:r>
    </w:p>
    <w:p>
      <w:pPr>
        <w:pStyle w:val="TableCaption"/>
      </w:pPr>
      <w:r>
        <w:t xml:space="preserve">Table 8:</w:t>
      </w:r>
      <w:r>
        <w:t xml:space="preserve"> </w:t>
      </w:r>
      <w:r>
        <w:rPr>
          <w:i/>
        </w:rPr>
        <w:t xml:space="preserve">Summary of DOC samples collected across the LWSA sub-basins</w:t>
      </w:r>
    </w:p>
    <w:tbl>
      <w:tblPr>
        <w:tblStyle w:val="Table"/>
        <w:tblW w:type="pct" w:w="0.0"/>
        <w:tblLook w:firstRow="1"/>
        <w:tblCaption w:val="Table 8: Summary of DOC samples collected across the LWSA sub-basins"/>
      </w:tblPr>
      <w:tblGrid/>
      <w:tr>
        <w:trPr>
          <w:cnfStyle w:firstRow="1"/>
        </w:trPr>
        <w:tc>
          <w:tcPr>
            <w:tcBorders>
              <w:bottom w:val="single"/>
            </w:tcBorders>
            <w:vAlign w:val="bottom"/>
          </w:tcPr>
          <w:p>
            <w:pPr>
              <w:pStyle w:val="Compact"/>
              <w:jc w:val="left"/>
            </w:pPr>
            <w:r>
              <w:t xml:space="preserve">Site</w:t>
            </w:r>
          </w:p>
        </w:tc>
        <w:tc>
          <w:tcPr>
            <w:tcBorders>
              <w:bottom w:val="single"/>
            </w:tcBorders>
            <w:vAlign w:val="bottom"/>
          </w:tcPr>
          <w:p>
            <w:pPr>
              <w:pStyle w:val="Compact"/>
              <w:jc w:val="left"/>
            </w:pPr>
            <w:r>
              <w:t xml:space="preserve">sub-basin type</w:t>
            </w:r>
          </w:p>
        </w:tc>
        <w:tc>
          <w:tcPr>
            <w:tcBorders>
              <w:bottom w:val="single"/>
            </w:tcBorders>
            <w:vAlign w:val="bottom"/>
          </w:tcPr>
          <w:p>
            <w:pPr>
              <w:pStyle w:val="Compact"/>
              <w:jc w:val="right"/>
            </w:pPr>
            <w:r>
              <w:t xml:space="preserve">sample count</w:t>
            </w:r>
          </w:p>
        </w:tc>
        <w:tc>
          <w:tcPr>
            <w:tcBorders>
              <w:bottom w:val="single"/>
            </w:tcBorders>
            <w:vAlign w:val="bottom"/>
          </w:tcPr>
          <w:p>
            <w:pPr>
              <w:pStyle w:val="Compact"/>
              <w:jc w:val="right"/>
            </w:pPr>
            <w:r>
              <w:t xml:space="preserve">mean DOC (mg/L)</w:t>
            </w:r>
          </w:p>
        </w:tc>
        <w:tc>
          <w:tcPr>
            <w:tcBorders>
              <w:bottom w:val="single"/>
            </w:tcBorders>
            <w:vAlign w:val="bottom"/>
          </w:tcPr>
          <w:p>
            <w:pPr>
              <w:pStyle w:val="Compact"/>
              <w:jc w:val="right"/>
            </w:pPr>
            <w:r>
              <w:t xml:space="preserve">std.dev. (± mg/L)</w:t>
            </w:r>
          </w:p>
        </w:tc>
        <w:tc>
          <w:tcPr>
            <w:tcBorders>
              <w:bottom w:val="single"/>
            </w:tcBorders>
            <w:vAlign w:val="bottom"/>
          </w:tcPr>
          <w:p>
            <w:pPr>
              <w:pStyle w:val="Compact"/>
              <w:jc w:val="right"/>
            </w:pPr>
            <w:r>
              <w:t xml:space="preserve">RSD (±%)</w:t>
            </w:r>
          </w:p>
        </w:tc>
        <w:tc>
          <w:tcPr>
            <w:tcBorders>
              <w:bottom w:val="single"/>
            </w:tcBorders>
            <w:vAlign w:val="bottom"/>
          </w:tcPr>
          <w:p>
            <w:pPr>
              <w:pStyle w:val="Compact"/>
              <w:jc w:val="right"/>
            </w:pPr>
            <w:r>
              <w:t xml:space="preserve">min DOC</w:t>
            </w:r>
          </w:p>
        </w:tc>
        <w:tc>
          <w:tcPr>
            <w:tcBorders>
              <w:bottom w:val="single"/>
            </w:tcBorders>
            <w:vAlign w:val="bottom"/>
          </w:tcPr>
          <w:p>
            <w:pPr>
              <w:pStyle w:val="Compact"/>
              <w:jc w:val="right"/>
            </w:pPr>
            <w:r>
              <w:t xml:space="preserve">median DOC</w:t>
            </w:r>
          </w:p>
        </w:tc>
        <w:tc>
          <w:tcPr>
            <w:tcBorders>
              <w:bottom w:val="single"/>
            </w:tcBorders>
            <w:vAlign w:val="bottom"/>
          </w:tcPr>
          <w:p>
            <w:pPr>
              <w:pStyle w:val="Compact"/>
              <w:jc w:val="right"/>
            </w:pPr>
            <w:r>
              <w:t xml:space="preserve">max DOC</w:t>
            </w:r>
          </w:p>
        </w:tc>
      </w:tr>
      <w:tr>
        <w:tc>
          <w:p>
            <w:pPr>
              <w:pStyle w:val="Compact"/>
              <w:jc w:val="left"/>
            </w:pPr>
            <w:r>
              <w:t xml:space="preserve">Weeks</w:t>
            </w:r>
          </w:p>
        </w:tc>
        <w:tc>
          <w:p>
            <w:pPr>
              <w:pStyle w:val="Compact"/>
              <w:jc w:val="left"/>
            </w:pPr>
            <w:r>
              <w:t xml:space="preserve">headwater</w:t>
            </w:r>
          </w:p>
        </w:tc>
        <w:tc>
          <w:p>
            <w:pPr>
              <w:pStyle w:val="Compact"/>
              <w:jc w:val="right"/>
            </w:pPr>
            <w:r>
              <w:t xml:space="preserve">56</w:t>
            </w:r>
          </w:p>
        </w:tc>
        <w:tc>
          <w:p>
            <w:pPr>
              <w:pStyle w:val="Compact"/>
              <w:jc w:val="right"/>
            </w:pPr>
            <w:r>
              <w:t xml:space="preserve">9.9</w:t>
            </w:r>
          </w:p>
        </w:tc>
        <w:tc>
          <w:p>
            <w:pPr>
              <w:pStyle w:val="Compact"/>
              <w:jc w:val="right"/>
            </w:pPr>
            <w:r>
              <w:t xml:space="preserve">3.6</w:t>
            </w:r>
          </w:p>
        </w:tc>
        <w:tc>
          <w:p>
            <w:pPr>
              <w:pStyle w:val="Compact"/>
              <w:jc w:val="right"/>
            </w:pPr>
            <w:r>
              <w:t xml:space="preserve">36</w:t>
            </w:r>
          </w:p>
        </w:tc>
        <w:tc>
          <w:p>
            <w:pPr>
              <w:pStyle w:val="Compact"/>
              <w:jc w:val="right"/>
            </w:pPr>
            <w:r>
              <w:t xml:space="preserve">3.78</w:t>
            </w:r>
          </w:p>
        </w:tc>
        <w:tc>
          <w:p>
            <w:pPr>
              <w:pStyle w:val="Compact"/>
              <w:jc w:val="right"/>
            </w:pPr>
            <w:r>
              <w:t xml:space="preserve">9.44</w:t>
            </w:r>
          </w:p>
        </w:tc>
        <w:tc>
          <w:p>
            <w:pPr>
              <w:pStyle w:val="Compact"/>
              <w:jc w:val="right"/>
            </w:pPr>
            <w:r>
              <w:t xml:space="preserve">19.07</w:t>
            </w:r>
          </w:p>
        </w:tc>
      </w:tr>
      <w:tr>
        <w:tc>
          <w:p>
            <w:pPr>
              <w:pStyle w:val="Compact"/>
              <w:jc w:val="left"/>
            </w:pPr>
            <w:r>
              <w:t xml:space="preserve">ChrisCrk</w:t>
            </w:r>
          </w:p>
        </w:tc>
        <w:tc>
          <w:p>
            <w:pPr>
              <w:pStyle w:val="Compact"/>
              <w:jc w:val="left"/>
            </w:pPr>
            <w:r>
              <w:t xml:space="preserve">headwater</w:t>
            </w:r>
          </w:p>
        </w:tc>
        <w:tc>
          <w:p>
            <w:pPr>
              <w:pStyle w:val="Compact"/>
              <w:jc w:val="right"/>
            </w:pPr>
            <w:r>
              <w:t xml:space="preserve">49</w:t>
            </w:r>
          </w:p>
        </w:tc>
        <w:tc>
          <w:p>
            <w:pPr>
              <w:pStyle w:val="Compact"/>
              <w:jc w:val="right"/>
            </w:pPr>
            <w:r>
              <w:t xml:space="preserve">4.9</w:t>
            </w:r>
          </w:p>
        </w:tc>
        <w:tc>
          <w:p>
            <w:pPr>
              <w:pStyle w:val="Compact"/>
              <w:jc w:val="right"/>
            </w:pPr>
            <w:r>
              <w:t xml:space="preserve">2.0</w:t>
            </w:r>
          </w:p>
        </w:tc>
        <w:tc>
          <w:p>
            <w:pPr>
              <w:pStyle w:val="Compact"/>
              <w:jc w:val="right"/>
            </w:pPr>
            <w:r>
              <w:t xml:space="preserve">41</w:t>
            </w:r>
          </w:p>
        </w:tc>
        <w:tc>
          <w:p>
            <w:pPr>
              <w:pStyle w:val="Compact"/>
              <w:jc w:val="right"/>
            </w:pPr>
            <w:r>
              <w:t xml:space="preserve">1.84</w:t>
            </w:r>
          </w:p>
        </w:tc>
        <w:tc>
          <w:p>
            <w:pPr>
              <w:pStyle w:val="Compact"/>
              <w:jc w:val="right"/>
            </w:pPr>
            <w:r>
              <w:t xml:space="preserve">4.74</w:t>
            </w:r>
          </w:p>
        </w:tc>
        <w:tc>
          <w:p>
            <w:pPr>
              <w:pStyle w:val="Compact"/>
              <w:jc w:val="right"/>
            </w:pPr>
            <w:r>
              <w:t xml:space="preserve">9.16</w:t>
            </w:r>
          </w:p>
        </w:tc>
      </w:tr>
      <w:tr>
        <w:tc>
          <w:p>
            <w:pPr>
              <w:pStyle w:val="Compact"/>
              <w:jc w:val="left"/>
            </w:pPr>
            <w:r>
              <w:t xml:space="preserve">LeechHead</w:t>
            </w:r>
          </w:p>
        </w:tc>
        <w:tc>
          <w:p>
            <w:pPr>
              <w:pStyle w:val="Compact"/>
              <w:jc w:val="left"/>
            </w:pPr>
            <w:r>
              <w:t xml:space="preserve">headwater</w:t>
            </w:r>
          </w:p>
        </w:tc>
        <w:tc>
          <w:p>
            <w:pPr>
              <w:pStyle w:val="Compact"/>
              <w:jc w:val="right"/>
            </w:pPr>
            <w:r>
              <w:t xml:space="preserve">52</w:t>
            </w:r>
          </w:p>
        </w:tc>
        <w:tc>
          <w:p>
            <w:pPr>
              <w:pStyle w:val="Compact"/>
              <w:jc w:val="right"/>
            </w:pPr>
            <w:r>
              <w:t xml:space="preserve">7.1</w:t>
            </w:r>
          </w:p>
        </w:tc>
        <w:tc>
          <w:p>
            <w:pPr>
              <w:pStyle w:val="Compact"/>
              <w:jc w:val="right"/>
            </w:pPr>
            <w:r>
              <w:t xml:space="preserve">1.7</w:t>
            </w:r>
          </w:p>
        </w:tc>
        <w:tc>
          <w:p>
            <w:pPr>
              <w:pStyle w:val="Compact"/>
              <w:jc w:val="right"/>
            </w:pPr>
            <w:r>
              <w:t xml:space="preserve">24</w:t>
            </w:r>
          </w:p>
        </w:tc>
        <w:tc>
          <w:p>
            <w:pPr>
              <w:pStyle w:val="Compact"/>
              <w:jc w:val="right"/>
            </w:pPr>
            <w:r>
              <w:t xml:space="preserve">3.95</w:t>
            </w:r>
          </w:p>
        </w:tc>
        <w:tc>
          <w:p>
            <w:pPr>
              <w:pStyle w:val="Compact"/>
              <w:jc w:val="right"/>
            </w:pPr>
            <w:r>
              <w:t xml:space="preserve">6.85</w:t>
            </w:r>
          </w:p>
        </w:tc>
        <w:tc>
          <w:p>
            <w:pPr>
              <w:pStyle w:val="Compact"/>
              <w:jc w:val="right"/>
            </w:pPr>
            <w:r>
              <w:t xml:space="preserve">11.64</w:t>
            </w:r>
          </w:p>
        </w:tc>
      </w:tr>
      <w:tr>
        <w:tc>
          <w:p>
            <w:pPr>
              <w:pStyle w:val="Compact"/>
              <w:jc w:val="left"/>
            </w:pPr>
            <w:r>
              <w:t xml:space="preserve">CraggCrk</w:t>
            </w:r>
          </w:p>
        </w:tc>
        <w:tc>
          <w:p>
            <w:pPr>
              <w:pStyle w:val="Compact"/>
              <w:jc w:val="left"/>
            </w:pPr>
            <w:r>
              <w:t xml:space="preserve">mainstem</w:t>
            </w:r>
          </w:p>
        </w:tc>
        <w:tc>
          <w:p>
            <w:pPr>
              <w:pStyle w:val="Compact"/>
              <w:jc w:val="right"/>
            </w:pPr>
            <w:r>
              <w:t xml:space="preserve">69</w:t>
            </w:r>
          </w:p>
        </w:tc>
        <w:tc>
          <w:p>
            <w:pPr>
              <w:pStyle w:val="Compact"/>
              <w:jc w:val="right"/>
            </w:pPr>
            <w:r>
              <w:t xml:space="preserve">4.7</w:t>
            </w:r>
          </w:p>
        </w:tc>
        <w:tc>
          <w:p>
            <w:pPr>
              <w:pStyle w:val="Compact"/>
              <w:jc w:val="right"/>
            </w:pPr>
            <w:r>
              <w:t xml:space="preserve">1.5</w:t>
            </w:r>
          </w:p>
        </w:tc>
        <w:tc>
          <w:p>
            <w:pPr>
              <w:pStyle w:val="Compact"/>
              <w:jc w:val="right"/>
            </w:pPr>
            <w:r>
              <w:t xml:space="preserve">31</w:t>
            </w:r>
          </w:p>
        </w:tc>
        <w:tc>
          <w:p>
            <w:pPr>
              <w:pStyle w:val="Compact"/>
              <w:jc w:val="right"/>
            </w:pPr>
            <w:r>
              <w:t xml:space="preserve">1.79</w:t>
            </w:r>
          </w:p>
        </w:tc>
        <w:tc>
          <w:p>
            <w:pPr>
              <w:pStyle w:val="Compact"/>
              <w:jc w:val="right"/>
            </w:pPr>
            <w:r>
              <w:t xml:space="preserve">4.45</w:t>
            </w:r>
          </w:p>
        </w:tc>
        <w:tc>
          <w:p>
            <w:pPr>
              <w:pStyle w:val="Compact"/>
              <w:jc w:val="right"/>
            </w:pPr>
            <w:r>
              <w:t xml:space="preserve">8.22</w:t>
            </w:r>
          </w:p>
        </w:tc>
      </w:tr>
      <w:tr>
        <w:tc>
          <w:p>
            <w:pPr>
              <w:pStyle w:val="Compact"/>
              <w:jc w:val="left"/>
            </w:pPr>
            <w:r>
              <w:t xml:space="preserve">WestLeech</w:t>
            </w:r>
          </w:p>
        </w:tc>
        <w:tc>
          <w:p>
            <w:pPr>
              <w:pStyle w:val="Compact"/>
              <w:jc w:val="left"/>
            </w:pPr>
            <w:r>
              <w:t xml:space="preserve">mainstem</w:t>
            </w:r>
          </w:p>
        </w:tc>
        <w:tc>
          <w:p>
            <w:pPr>
              <w:pStyle w:val="Compact"/>
              <w:jc w:val="right"/>
            </w:pPr>
            <w:r>
              <w:t xml:space="preserve">67</w:t>
            </w:r>
          </w:p>
        </w:tc>
        <w:tc>
          <w:p>
            <w:pPr>
              <w:pStyle w:val="Compact"/>
              <w:jc w:val="right"/>
            </w:pPr>
            <w:r>
              <w:t xml:space="preserve">5.6</w:t>
            </w:r>
          </w:p>
        </w:tc>
        <w:tc>
          <w:p>
            <w:pPr>
              <w:pStyle w:val="Compact"/>
              <w:jc w:val="right"/>
            </w:pPr>
            <w:r>
              <w:t xml:space="preserve">2.3</w:t>
            </w:r>
          </w:p>
        </w:tc>
        <w:tc>
          <w:p>
            <w:pPr>
              <w:pStyle w:val="Compact"/>
              <w:jc w:val="right"/>
            </w:pPr>
            <w:r>
              <w:t xml:space="preserve">41</w:t>
            </w:r>
          </w:p>
        </w:tc>
        <w:tc>
          <w:p>
            <w:pPr>
              <w:pStyle w:val="Compact"/>
              <w:jc w:val="right"/>
            </w:pPr>
            <w:r>
              <w:t xml:space="preserve">2.00</w:t>
            </w:r>
          </w:p>
        </w:tc>
        <w:tc>
          <w:p>
            <w:pPr>
              <w:pStyle w:val="Compact"/>
              <w:jc w:val="right"/>
            </w:pPr>
            <w:r>
              <w:t xml:space="preserve">5.36</w:t>
            </w:r>
          </w:p>
        </w:tc>
        <w:tc>
          <w:p>
            <w:pPr>
              <w:pStyle w:val="Compact"/>
              <w:jc w:val="right"/>
            </w:pPr>
            <w:r>
              <w:t xml:space="preserve">10.95</w:t>
            </w:r>
          </w:p>
        </w:tc>
      </w:tr>
      <w:tr>
        <w:tc>
          <w:p>
            <w:pPr>
              <w:pStyle w:val="Compact"/>
              <w:jc w:val="left"/>
            </w:pPr>
            <w:r>
              <w:t xml:space="preserve">Tunnel</w:t>
            </w:r>
          </w:p>
        </w:tc>
        <w:tc>
          <w:p>
            <w:pPr>
              <w:pStyle w:val="Compact"/>
              <w:jc w:val="left"/>
            </w:pPr>
            <w:r>
              <w:t xml:space="preserve">outlet</w:t>
            </w:r>
          </w:p>
        </w:tc>
        <w:tc>
          <w:p>
            <w:pPr>
              <w:pStyle w:val="Compact"/>
              <w:jc w:val="right"/>
            </w:pPr>
            <w:r>
              <w:t xml:space="preserve">74</w:t>
            </w:r>
          </w:p>
        </w:tc>
        <w:tc>
          <w:p>
            <w:pPr>
              <w:pStyle w:val="Compact"/>
              <w:jc w:val="right"/>
            </w:pPr>
            <w:r>
              <w:t xml:space="preserve">4.8</w:t>
            </w:r>
          </w:p>
        </w:tc>
        <w:tc>
          <w:p>
            <w:pPr>
              <w:pStyle w:val="Compact"/>
              <w:jc w:val="right"/>
            </w:pPr>
            <w:r>
              <w:t xml:space="preserve">1.7</w:t>
            </w:r>
          </w:p>
        </w:tc>
        <w:tc>
          <w:p>
            <w:pPr>
              <w:pStyle w:val="Compact"/>
              <w:jc w:val="right"/>
            </w:pPr>
            <w:r>
              <w:t xml:space="preserve">36</w:t>
            </w:r>
          </w:p>
        </w:tc>
        <w:tc>
          <w:p>
            <w:pPr>
              <w:pStyle w:val="Compact"/>
              <w:jc w:val="right"/>
            </w:pPr>
            <w:r>
              <w:t xml:space="preserve">1.65</w:t>
            </w:r>
          </w:p>
        </w:tc>
        <w:tc>
          <w:p>
            <w:pPr>
              <w:pStyle w:val="Compact"/>
              <w:jc w:val="right"/>
            </w:pPr>
            <w:r>
              <w:t xml:space="preserve">4.94</w:t>
            </w:r>
          </w:p>
        </w:tc>
        <w:tc>
          <w:p>
            <w:pPr>
              <w:pStyle w:val="Compact"/>
              <w:jc w:val="right"/>
            </w:pPr>
            <w:r>
              <w:t xml:space="preserve">9.02</w:t>
            </w:r>
          </w:p>
        </w:tc>
      </w:tr>
      <w:tr>
        <w:tc>
          <w:p>
            <w:pPr>
              <w:pStyle w:val="Compact"/>
              <w:jc w:val="left"/>
            </w:pPr>
            <w:r>
              <w:t xml:space="preserve">summary</w:t>
            </w:r>
          </w:p>
        </w:tc>
        <w:tc>
          <w:p>
            <w:pPr>
              <w:pStyle w:val="Compact"/>
              <w:jc w:val="left"/>
            </w:pPr>
            <w:r>
              <w:t xml:space="preserve">headwater</w:t>
            </w:r>
          </w:p>
        </w:tc>
        <w:tc>
          <w:p>
            <w:pPr>
              <w:pStyle w:val="Compact"/>
              <w:jc w:val="right"/>
            </w:pPr>
            <w:r>
              <w:t xml:space="preserve">157</w:t>
            </w:r>
          </w:p>
        </w:tc>
        <w:tc>
          <w:p>
            <w:pPr>
              <w:pStyle w:val="Compact"/>
              <w:jc w:val="right"/>
            </w:pPr>
            <w:r>
              <w:t xml:space="preserve">7.4</w:t>
            </w:r>
          </w:p>
        </w:tc>
        <w:tc>
          <w:p>
            <w:pPr>
              <w:pStyle w:val="Compact"/>
              <w:jc w:val="right"/>
            </w:pPr>
            <w:r>
              <w:t xml:space="preserve">3.3</w:t>
            </w:r>
          </w:p>
        </w:tc>
        <w:tc>
          <w:p>
            <w:pPr>
              <w:pStyle w:val="Compact"/>
              <w:jc w:val="right"/>
            </w:pPr>
            <w:r>
              <w:t xml:space="preserve">45</w:t>
            </w:r>
          </w:p>
        </w:tc>
        <w:tc>
          <w:p>
            <w:pPr>
              <w:pStyle w:val="Compact"/>
              <w:jc w:val="right"/>
            </w:pPr>
            <w:r>
              <w:t xml:space="preserve">1.84</w:t>
            </w:r>
          </w:p>
        </w:tc>
        <w:tc>
          <w:p>
            <w:pPr>
              <w:pStyle w:val="Compact"/>
              <w:jc w:val="right"/>
            </w:pPr>
            <w:r>
              <w:t xml:space="preserve">6.84</w:t>
            </w:r>
          </w:p>
        </w:tc>
        <w:tc>
          <w:p>
            <w:pPr>
              <w:pStyle w:val="Compact"/>
              <w:jc w:val="right"/>
            </w:pPr>
            <w:r>
              <w:t xml:space="preserve">19.07</w:t>
            </w:r>
          </w:p>
        </w:tc>
      </w:tr>
      <w:tr>
        <w:tc>
          <w:p>
            <w:pPr>
              <w:pStyle w:val="Compact"/>
              <w:jc w:val="left"/>
            </w:pPr>
            <w:r>
              <w:t xml:space="preserve">summary</w:t>
            </w:r>
          </w:p>
        </w:tc>
        <w:tc>
          <w:p>
            <w:pPr>
              <w:pStyle w:val="Compact"/>
              <w:jc w:val="left"/>
            </w:pPr>
            <w:r>
              <w:t xml:space="preserve">mainstem</w:t>
            </w:r>
          </w:p>
        </w:tc>
        <w:tc>
          <w:p>
            <w:pPr>
              <w:pStyle w:val="Compact"/>
              <w:jc w:val="right"/>
            </w:pPr>
            <w:r>
              <w:t xml:space="preserve">136</w:t>
            </w:r>
          </w:p>
        </w:tc>
        <w:tc>
          <w:p>
            <w:pPr>
              <w:pStyle w:val="Compact"/>
              <w:jc w:val="right"/>
            </w:pPr>
            <w:r>
              <w:t xml:space="preserve">5.1</w:t>
            </w:r>
          </w:p>
        </w:tc>
        <w:tc>
          <w:p>
            <w:pPr>
              <w:pStyle w:val="Compact"/>
              <w:jc w:val="right"/>
            </w:pPr>
            <w:r>
              <w:t xml:space="preserve">2.0</w:t>
            </w:r>
          </w:p>
        </w:tc>
        <w:tc>
          <w:p>
            <w:pPr>
              <w:pStyle w:val="Compact"/>
              <w:jc w:val="right"/>
            </w:pPr>
            <w:r>
              <w:t xml:space="preserve">38</w:t>
            </w:r>
          </w:p>
        </w:tc>
        <w:tc>
          <w:p>
            <w:pPr>
              <w:pStyle w:val="Compact"/>
              <w:jc w:val="right"/>
            </w:pPr>
            <w:r>
              <w:t xml:space="preserve">1.79</w:t>
            </w:r>
          </w:p>
        </w:tc>
        <w:tc>
          <w:p>
            <w:pPr>
              <w:pStyle w:val="Compact"/>
              <w:jc w:val="right"/>
            </w:pPr>
            <w:r>
              <w:t xml:space="preserve">4.72</w:t>
            </w:r>
          </w:p>
        </w:tc>
        <w:tc>
          <w:p>
            <w:pPr>
              <w:pStyle w:val="Compact"/>
              <w:jc w:val="right"/>
            </w:pPr>
            <w:r>
              <w:t xml:space="preserve">10.95</w:t>
            </w:r>
          </w:p>
        </w:tc>
      </w:tr>
      <w:tr>
        <w:tc>
          <w:p>
            <w:pPr>
              <w:pStyle w:val="Compact"/>
              <w:jc w:val="left"/>
            </w:pPr>
            <w:r>
              <w:t xml:space="preserve">Total</w:t>
            </w:r>
          </w:p>
        </w:tc>
        <w:tc>
          <w:p>
            <w:pPr>
              <w:pStyle w:val="Compact"/>
              <w:jc w:val="left"/>
            </w:pPr>
            <w:r>
              <w:t xml:space="preserve">all</w:t>
            </w:r>
          </w:p>
        </w:tc>
        <w:tc>
          <w:p>
            <w:pPr>
              <w:pStyle w:val="Compact"/>
              <w:jc w:val="right"/>
            </w:pPr>
            <w:r>
              <w:t xml:space="preserve">367</w:t>
            </w:r>
          </w:p>
        </w:tc>
        <w:tc>
          <w:p>
            <w:pPr>
              <w:pStyle w:val="Compact"/>
              <w:jc w:val="right"/>
            </w:pPr>
            <w:r>
              <w:t xml:space="preserve">6.0</w:t>
            </w:r>
          </w:p>
        </w:tc>
        <w:tc>
          <w:p>
            <w:pPr>
              <w:pStyle w:val="Compact"/>
              <w:jc w:val="right"/>
            </w:pPr>
            <w:r>
              <w:t xml:space="preserve">2.9</w:t>
            </w:r>
          </w:p>
        </w:tc>
        <w:tc>
          <w:p>
            <w:pPr>
              <w:pStyle w:val="Compact"/>
              <w:jc w:val="right"/>
            </w:pPr>
            <w:r>
              <w:t xml:space="preserve">47</w:t>
            </w:r>
          </w:p>
        </w:tc>
        <w:tc>
          <w:p>
            <w:pPr>
              <w:pStyle w:val="Compact"/>
              <w:jc w:val="right"/>
            </w:pPr>
            <w:r>
              <w:t xml:space="preserve">1.65</w:t>
            </w:r>
          </w:p>
        </w:tc>
        <w:tc>
          <w:p>
            <w:pPr>
              <w:pStyle w:val="Compact"/>
              <w:jc w:val="right"/>
            </w:pPr>
            <w:r>
              <w:t xml:space="preserve">5.58</w:t>
            </w:r>
          </w:p>
        </w:tc>
        <w:tc>
          <w:p>
            <w:pPr>
              <w:pStyle w:val="Compact"/>
              <w:jc w:val="right"/>
            </w:pPr>
            <w:r>
              <w:t xml:space="preserve">19.07</w:t>
            </w:r>
          </w:p>
        </w:tc>
      </w:tr>
    </w:tbl>
    <w:p>
      <w:pPr>
        <w:pStyle w:val="BodyText"/>
      </w:pPr>
      <w:r>
        <w:br/>
      </w:r>
    </w:p>
    <w:p>
      <w:pPr>
        <w:pStyle w:val="BodyText"/>
      </w:pPr>
      <w:r>
        <w:t xml:space="preserve">Sample results from each nested sub-basin were compared to those of the Tunnel site to determine if there were significant differences between variances. Levene’s test was used to test for homogeneity of variance (homoscedasticity), and the results are summarized in Table</w:t>
      </w:r>
      <w:r>
        <w:t xml:space="preserve"> </w:t>
      </w:r>
      <w:r>
        <w:t xml:space="preserve">9</w:t>
      </w:r>
      <w:r>
        <w:t xml:space="preserve">. There was significant difference between the Tunnel (site 6) and Weeks (site 1), which is a headwater creek that drains Weeks Lake and it’s surrounding wetlands in the northwest of the watershed (p &lt; 0.001). Variance in DOC was also significantly different between the Tunnel and West Leech (site 5), which is a mainstem river that drains the west side of the watershed (p &lt; 0.05). Variance at Cragg Creek (site 4) was different (p &lt; 0.10), while variances at Chris Creek and the Head of Leech River (below the confluence of Weeks and Chris Crk) were not found to differ significantly from the Tunnel site.</w:t>
      </w:r>
    </w:p>
    <w:p>
      <w:pPr>
        <w:pStyle w:val="BodyText"/>
      </w:pPr>
      <w:r>
        <w:br/>
      </w:r>
    </w:p>
    <w:p>
      <w:pPr>
        <w:pStyle w:val="TableCaption"/>
      </w:pPr>
      <w:r>
        <w:t xml:space="preserve">Table 9:</w:t>
      </w:r>
      <w:r>
        <w:t xml:space="preserve"> </w:t>
      </w:r>
      <w:r>
        <w:rPr>
          <w:i/>
        </w:rPr>
        <w:t xml:space="preserve">Results of Levene’s test compairing DOC of nested catchments to the outlet</w:t>
      </w:r>
    </w:p>
    <w:tbl>
      <w:tblPr>
        <w:tblStyle w:val="Table"/>
        <w:tblW w:type="pct" w:w="0.0"/>
        <w:tblLook w:firstRow="1"/>
        <w:tblCaption w:val="Table 9: Results of Levene’s test compairing DOC of nested catchments to the outlet"/>
      </w:tblPr>
      <w:tblGrid/>
      <w:tr>
        <w:trPr>
          <w:cnfStyle w:firstRow="1"/>
        </w:trPr>
        <w:tc>
          <w:tcPr>
            <w:tcBorders>
              <w:bottom w:val="single"/>
            </w:tcBorders>
            <w:vAlign w:val="bottom"/>
          </w:tcPr>
          <w:p>
            <w:pPr>
              <w:pStyle w:val="Compact"/>
              <w:jc w:val="left"/>
            </w:pPr>
            <w:r>
              <w:t xml:space="preserve">sub-basin site compared to outlet</w:t>
            </w:r>
          </w:p>
        </w:tc>
        <w:tc>
          <w:tcPr>
            <w:tcBorders>
              <w:bottom w:val="single"/>
            </w:tcBorders>
            <w:vAlign w:val="bottom"/>
          </w:tcPr>
          <w:p>
            <w:pPr>
              <w:pStyle w:val="Compact"/>
              <w:jc w:val="right"/>
            </w:pPr>
            <w:r>
              <w:t xml:space="preserve">p-value</w:t>
            </w:r>
          </w:p>
        </w:tc>
      </w:tr>
      <w:tr>
        <w:tc>
          <w:p>
            <w:pPr>
              <w:pStyle w:val="Compact"/>
              <w:jc w:val="left"/>
            </w:pPr>
            <w:r>
              <w:t xml:space="preserve">Weeks ***</w:t>
            </w:r>
          </w:p>
        </w:tc>
        <w:tc>
          <w:p>
            <w:pPr>
              <w:pStyle w:val="Compact"/>
              <w:jc w:val="right"/>
            </w:pPr>
            <w:r>
              <w:t xml:space="preserve">0.0000006</w:t>
            </w:r>
          </w:p>
        </w:tc>
      </w:tr>
      <w:tr>
        <w:tc>
          <w:p>
            <w:pPr>
              <w:pStyle w:val="Compact"/>
              <w:jc w:val="left"/>
            </w:pPr>
            <w:r>
              <w:t xml:space="preserve">ChrisCrk</w:t>
            </w:r>
          </w:p>
        </w:tc>
        <w:tc>
          <w:p>
            <w:pPr>
              <w:pStyle w:val="Compact"/>
              <w:jc w:val="right"/>
            </w:pPr>
            <w:r>
              <w:t xml:space="preserve">0.2103788</w:t>
            </w:r>
          </w:p>
        </w:tc>
      </w:tr>
      <w:tr>
        <w:tc>
          <w:p>
            <w:pPr>
              <w:pStyle w:val="Compact"/>
              <w:jc w:val="left"/>
            </w:pPr>
            <w:r>
              <w:t xml:space="preserve">LeechHead</w:t>
            </w:r>
          </w:p>
        </w:tc>
        <w:tc>
          <w:p>
            <w:pPr>
              <w:pStyle w:val="Compact"/>
              <w:jc w:val="right"/>
            </w:pPr>
            <w:r>
              <w:t xml:space="preserve">0.4593409</w:t>
            </w:r>
          </w:p>
        </w:tc>
      </w:tr>
      <w:tr>
        <w:tc>
          <w:p>
            <w:pPr>
              <w:pStyle w:val="Compact"/>
              <w:jc w:val="left"/>
            </w:pPr>
            <w:r>
              <w:t xml:space="preserve">CraggCrk</w:t>
            </w:r>
          </w:p>
        </w:tc>
        <w:tc>
          <w:p>
            <w:pPr>
              <w:pStyle w:val="Compact"/>
              <w:jc w:val="right"/>
            </w:pPr>
            <w:r>
              <w:t xml:space="preserve">0.0945058</w:t>
            </w:r>
          </w:p>
        </w:tc>
      </w:tr>
      <w:tr>
        <w:tc>
          <w:p>
            <w:pPr>
              <w:pStyle w:val="Compact"/>
              <w:jc w:val="left"/>
            </w:pPr>
            <w:r>
              <w:t xml:space="preserve">WestLeech *</w:t>
            </w:r>
          </w:p>
        </w:tc>
        <w:tc>
          <w:p>
            <w:pPr>
              <w:pStyle w:val="Compact"/>
              <w:jc w:val="right"/>
            </w:pPr>
            <w:r>
              <w:t xml:space="preserve">0.0153358</w:t>
            </w:r>
          </w:p>
        </w:tc>
      </w:tr>
    </w:tbl>
    <w:p>
      <w:pPr>
        <w:pStyle w:val="Heading3"/>
      </w:pPr>
      <w:bookmarkStart w:id="52" w:name="temporal-patterns"/>
      <w:r>
        <w:t xml:space="preserve">Temporal patterns</w:t>
      </w:r>
      <w:bookmarkEnd w:id="52"/>
    </w:p>
    <w:p>
      <w:pPr>
        <w:pStyle w:val="FirstParagraph"/>
      </w:pPr>
      <w:r>
        <w:t xml:space="preserve">Over time, DOC concentrations followed similar trends across each of the six LWSA sites (Figure</w:t>
      </w:r>
      <w:r>
        <w:t xml:space="preserve"> </w:t>
      </w:r>
      <w:r>
        <w:t xml:space="preserve">15</w:t>
      </w:r>
      <w:r>
        <w:t xml:space="preserve">). DOC was highest early in the wet season and progressively decreased through the fall and winter, reaching minimum concentrations in the spring before progressively increasing again through the summer. Based on spectroscopic indications that dry season NOM was less aromatic in character, it’s quite possibly that the increase in summer DOC was due to autochthonous sources such as algae and cyanobacteria, while fall DOC was likely sources from autochthonous terrestrial sources (e.g., humic and fluvic acids).</w:t>
      </w:r>
    </w:p>
    <w:p>
      <w:pPr>
        <w:pStyle w:val="BodyText"/>
      </w:pPr>
      <w:r>
        <w:br/>
      </w:r>
    </w:p>
    <w:p>
      <w:pPr>
        <w:pStyle w:val="CaptionedFigure"/>
      </w:pPr>
      <w:r>
        <w:drawing>
          <wp:inline>
            <wp:extent cx="5715000" cy="3527777"/>
            <wp:effectExtent b="0" l="0" r="0" t="0"/>
            <wp:docPr descr="Figure 15:  Trends in dissolved organic carbon concentrations over sixteen months (Oct 2018 to Feb 2020) at six sites across the Leech water supply area (n = 367: 166 grab samples, 201 vertical rack samples." title="" id="1" name="Picture"/>
            <a:graphic>
              <a:graphicData uri="http://schemas.openxmlformats.org/drawingml/2006/picture">
                <pic:pic>
                  <pic:nvPicPr>
                    <pic:cNvPr descr="R-outputs_UBC-forWater-MSc_HMc/figures/DOC_subbasin-types-overtime_loess.png" id="0" name="Picture"/>
                    <pic:cNvPicPr>
                      <a:picLocks noChangeArrowheads="1" noChangeAspect="1"/>
                    </pic:cNvPicPr>
                  </pic:nvPicPr>
                  <pic:blipFill>
                    <a:blip r:embed="rId53"/>
                    <a:stretch>
                      <a:fillRect/>
                    </a:stretch>
                  </pic:blipFill>
                  <pic:spPr bwMode="auto">
                    <a:xfrm>
                      <a:off x="0" y="0"/>
                      <a:ext cx="5715000" cy="3527777"/>
                    </a:xfrm>
                    <a:prstGeom prst="rect">
                      <a:avLst/>
                    </a:prstGeom>
                    <a:noFill/>
                    <a:ln w="9525">
                      <a:noFill/>
                      <a:headEnd/>
                      <a:tailEnd/>
                    </a:ln>
                  </pic:spPr>
                </pic:pic>
              </a:graphicData>
            </a:graphic>
          </wp:inline>
        </w:drawing>
      </w:r>
    </w:p>
    <w:p>
      <w:pPr>
        <w:pStyle w:val="ImageCaption"/>
      </w:pPr>
      <w:r>
        <w:t xml:space="preserve">Figure 15:</w:t>
      </w:r>
      <w:r>
        <w:t xml:space="preserve"> </w:t>
      </w:r>
      <w:r>
        <w:t xml:space="preserve"> </w:t>
      </w:r>
      <w:r>
        <w:rPr>
          <w:i/>
        </w:rPr>
        <w:t xml:space="preserve">Trends in dissolved organic carbon concentrations over sixteen months (Oct 2018 to Feb 2020) at six sites across the Leech water supply area (n = 367: 166 grab samples, 201 vertical rack samples.</w:t>
      </w:r>
    </w:p>
    <w:p>
      <w:pPr>
        <w:pStyle w:val="BodyText"/>
      </w:pPr>
      <w:r>
        <w:br/>
      </w:r>
      <w:r>
        <w:t xml:space="preserve">### Seasonal trends</w:t>
      </w:r>
    </w:p>
    <w:p>
      <w:pPr>
        <w:pStyle w:val="BodyText"/>
      </w:pPr>
      <w:r>
        <w:t xml:space="preserve">Overall, DOC concentrations were higher through the wet season compared to the dry season (Figure</w:t>
      </w:r>
      <w:r>
        <w:t xml:space="preserve"> </w:t>
      </w:r>
      <w:r>
        <w:t xml:space="preserve">16</w:t>
      </w:r>
      <w:r>
        <w:t xml:space="preserve"> </w:t>
      </w:r>
      <w:r>
        <w:t xml:space="preserve">&amp; Figure</w:t>
      </w:r>
      <w:r>
        <w:t xml:space="preserve"> </w:t>
      </w:r>
      <w:r>
        <w:t xml:space="preserve">17</w:t>
      </w:r>
      <w:r>
        <w:t xml:space="preserve">). Sample results across the LWSA catchments are summarized by season in Table</w:t>
      </w:r>
      <w:r>
        <w:t xml:space="preserve"> </w:t>
      </w:r>
      <w:r>
        <w:t xml:space="preserve">10</w:t>
      </w:r>
      <w:r>
        <w:t xml:space="preserve">.</w:t>
      </w:r>
    </w:p>
    <w:p>
      <w:pPr>
        <w:pStyle w:val="BodyText"/>
      </w:pPr>
      <w:r>
        <w:br/>
      </w:r>
    </w:p>
    <w:p>
      <w:pPr>
        <w:pStyle w:val="CaptionedFigure"/>
      </w:pPr>
      <w:r>
        <w:drawing>
          <wp:inline>
            <wp:extent cx="5504749" cy="3211103"/>
            <wp:effectExtent b="0" l="0" r="0" t="0"/>
            <wp:docPr descr="Figure 16:  Boxplots of DOC concentrations at six LWSA sites during dry season (n = 53) and wet season (n = 314)." title="" id="1" name="Picture"/>
            <a:graphic>
              <a:graphicData uri="http://schemas.openxmlformats.org/drawingml/2006/picture">
                <pic:pic>
                  <pic:nvPicPr>
                    <pic:cNvPr descr="R-outputs_UBC-forWater-MSc_HMc/figures/DOC_seasonal-subbasin_boxplots.png" id="0" name="Picture"/>
                    <pic:cNvPicPr>
                      <a:picLocks noChangeArrowheads="1" noChangeAspect="1"/>
                    </pic:cNvPicPr>
                  </pic:nvPicPr>
                  <pic:blipFill>
                    <a:blip r:embed="rId54"/>
                    <a:stretch>
                      <a:fillRect/>
                    </a:stretch>
                  </pic:blipFill>
                  <pic:spPr bwMode="auto">
                    <a:xfrm>
                      <a:off x="0" y="0"/>
                      <a:ext cx="5504749" cy="3211103"/>
                    </a:xfrm>
                    <a:prstGeom prst="rect">
                      <a:avLst/>
                    </a:prstGeom>
                    <a:noFill/>
                    <a:ln w="9525">
                      <a:noFill/>
                      <a:headEnd/>
                      <a:tailEnd/>
                    </a:ln>
                  </pic:spPr>
                </pic:pic>
              </a:graphicData>
            </a:graphic>
          </wp:inline>
        </w:drawing>
      </w:r>
    </w:p>
    <w:p>
      <w:pPr>
        <w:pStyle w:val="ImageCaption"/>
      </w:pPr>
      <w:r>
        <w:t xml:space="preserve">Figure 16:</w:t>
      </w:r>
      <w:r>
        <w:t xml:space="preserve"> </w:t>
      </w:r>
      <w:r>
        <w:t xml:space="preserve"> </w:t>
      </w:r>
      <w:r>
        <w:rPr>
          <w:i/>
        </w:rPr>
        <w:t xml:space="preserve">Boxplots of DOC concentrations at six LWSA sites during dry season (n = 53) and wet season (n = 314).</w:t>
      </w:r>
    </w:p>
    <w:p>
      <w:pPr>
        <w:pStyle w:val="BodyText"/>
      </w:pPr>
      <w:r>
        <w:br/>
      </w:r>
    </w:p>
    <w:p>
      <w:pPr>
        <w:pStyle w:val="CaptionedFigure"/>
      </w:pPr>
      <w:r>
        <w:drawing>
          <wp:inline>
            <wp:extent cx="5715000" cy="3527777"/>
            <wp:effectExtent b="0" l="0" r="0" t="0"/>
            <wp:docPr descr="Figure 17: Density distribution of dissolved organic carbon concentrations at six sites over sixteen months across the Leech water supply area, where sample results are grouped by dry season (n = 53) and wet season (n = 314)." title="" id="1" name="Picture"/>
            <a:graphic>
              <a:graphicData uri="http://schemas.openxmlformats.org/drawingml/2006/picture">
                <pic:pic>
                  <pic:nvPicPr>
                    <pic:cNvPr descr="R-outputs_UBC-forWater-MSc_HMc/figures/DOC_seasonal-subbasin-ridgeplot.png" id="0" name="Picture"/>
                    <pic:cNvPicPr>
                      <a:picLocks noChangeArrowheads="1" noChangeAspect="1"/>
                    </pic:cNvPicPr>
                  </pic:nvPicPr>
                  <pic:blipFill>
                    <a:blip r:embed="rId55"/>
                    <a:stretch>
                      <a:fillRect/>
                    </a:stretch>
                  </pic:blipFill>
                  <pic:spPr bwMode="auto">
                    <a:xfrm>
                      <a:off x="0" y="0"/>
                      <a:ext cx="5715000" cy="3527777"/>
                    </a:xfrm>
                    <a:prstGeom prst="rect">
                      <a:avLst/>
                    </a:prstGeom>
                    <a:noFill/>
                    <a:ln w="9525">
                      <a:noFill/>
                      <a:headEnd/>
                      <a:tailEnd/>
                    </a:ln>
                  </pic:spPr>
                </pic:pic>
              </a:graphicData>
            </a:graphic>
          </wp:inline>
        </w:drawing>
      </w:r>
    </w:p>
    <w:p>
      <w:pPr>
        <w:pStyle w:val="ImageCaption"/>
      </w:pPr>
      <w:r>
        <w:t xml:space="preserve">Figure 17:</w:t>
      </w:r>
      <w:r>
        <w:t xml:space="preserve"> </w:t>
      </w:r>
      <w:r>
        <w:t xml:space="preserve">Density distribution of dissolved organic carbon concentrations at six sites over sixteen months across the Leech water supply area, where sample results are grouped by dry season (n = 53) and wet season (n = 314).</w:t>
      </w:r>
    </w:p>
    <w:p>
      <w:pPr>
        <w:pStyle w:val="BodyText"/>
      </w:pPr>
      <w:r>
        <w:br/>
      </w:r>
    </w:p>
    <w:p>
      <w:pPr>
        <w:pStyle w:val="TableCaption"/>
      </w:pPr>
      <w:r>
        <w:t xml:space="preserve">Table 10: Seasonal summary of samples collected across LWSA subbasin sites</w:t>
      </w:r>
    </w:p>
    <w:tbl>
      <w:tblPr>
        <w:tblStyle w:val="Table"/>
        <w:tblW w:type="pct" w:w="0.0"/>
        <w:tblLook w:firstRow="1"/>
        <w:tblCaption w:val="Table 10: Seasonal summary of samples collected across LWSA subbasin sites"/>
      </w:tblPr>
      <w:tblGrid/>
      <w:tr>
        <w:trPr>
          <w:cnfStyle w:firstRow="1"/>
        </w:trPr>
        <w:tc>
          <w:tcPr>
            <w:tcBorders>
              <w:bottom w:val="single"/>
            </w:tcBorders>
            <w:vAlign w:val="bottom"/>
          </w:tcPr>
          <w:p>
            <w:pPr>
              <w:pStyle w:val="Compact"/>
              <w:jc w:val="left"/>
            </w:pPr>
            <w:r>
              <w:t xml:space="preserve">Site</w:t>
            </w:r>
          </w:p>
        </w:tc>
        <w:tc>
          <w:tcPr>
            <w:tcBorders>
              <w:bottom w:val="single"/>
            </w:tcBorders>
            <w:vAlign w:val="bottom"/>
          </w:tcPr>
          <w:p>
            <w:pPr>
              <w:pStyle w:val="Compact"/>
              <w:jc w:val="left"/>
            </w:pPr>
            <w:r>
              <w:t xml:space="preserve">Season</w:t>
            </w:r>
          </w:p>
        </w:tc>
        <w:tc>
          <w:tcPr>
            <w:tcBorders>
              <w:bottom w:val="single"/>
            </w:tcBorders>
            <w:vAlign w:val="bottom"/>
          </w:tcPr>
          <w:p>
            <w:pPr>
              <w:pStyle w:val="Compact"/>
              <w:jc w:val="right"/>
            </w:pPr>
            <w:r>
              <w:t xml:space="preserve">Sample count</w:t>
            </w:r>
          </w:p>
        </w:tc>
        <w:tc>
          <w:tcPr>
            <w:tcBorders>
              <w:bottom w:val="single"/>
            </w:tcBorders>
            <w:vAlign w:val="bottom"/>
          </w:tcPr>
          <w:p>
            <w:pPr>
              <w:pStyle w:val="Compact"/>
              <w:jc w:val="right"/>
            </w:pPr>
            <w:r>
              <w:t xml:space="preserve">mean DOC (mg/L)</w:t>
            </w:r>
          </w:p>
        </w:tc>
        <w:tc>
          <w:tcPr>
            <w:tcBorders>
              <w:bottom w:val="single"/>
            </w:tcBorders>
            <w:vAlign w:val="bottom"/>
          </w:tcPr>
          <w:p>
            <w:pPr>
              <w:pStyle w:val="Compact"/>
              <w:jc w:val="right"/>
            </w:pPr>
            <w:r>
              <w:t xml:space="preserve">std.dev. (± mg/L)</w:t>
            </w:r>
          </w:p>
        </w:tc>
        <w:tc>
          <w:tcPr>
            <w:tcBorders>
              <w:bottom w:val="single"/>
            </w:tcBorders>
            <w:vAlign w:val="bottom"/>
          </w:tcPr>
          <w:p>
            <w:pPr>
              <w:pStyle w:val="Compact"/>
              <w:jc w:val="right"/>
            </w:pPr>
            <w:r>
              <w:t xml:space="preserve">RSD (±%)</w:t>
            </w:r>
          </w:p>
        </w:tc>
      </w:tr>
      <w:tr>
        <w:tc>
          <w:p>
            <w:pPr>
              <w:pStyle w:val="Compact"/>
              <w:jc w:val="left"/>
            </w:pPr>
            <w:r>
              <w:t xml:space="preserve">Weeks</w:t>
            </w:r>
          </w:p>
        </w:tc>
        <w:tc>
          <w:p>
            <w:pPr>
              <w:pStyle w:val="Compact"/>
              <w:jc w:val="left"/>
            </w:pPr>
            <w:r>
              <w:t xml:space="preserve">Dry season</w:t>
            </w:r>
          </w:p>
        </w:tc>
        <w:tc>
          <w:p>
            <w:pPr>
              <w:pStyle w:val="Compact"/>
              <w:jc w:val="right"/>
            </w:pPr>
            <w:r>
              <w:t xml:space="preserve">8</w:t>
            </w:r>
          </w:p>
        </w:tc>
        <w:tc>
          <w:p>
            <w:pPr>
              <w:pStyle w:val="Compact"/>
              <w:jc w:val="right"/>
            </w:pPr>
            <w:r>
              <w:t xml:space="preserve">11.3</w:t>
            </w:r>
          </w:p>
        </w:tc>
        <w:tc>
          <w:p>
            <w:pPr>
              <w:pStyle w:val="Compact"/>
              <w:jc w:val="right"/>
            </w:pPr>
            <w:r>
              <w:t xml:space="preserve">2.1</w:t>
            </w:r>
          </w:p>
        </w:tc>
        <w:tc>
          <w:p>
            <w:pPr>
              <w:pStyle w:val="Compact"/>
              <w:jc w:val="right"/>
            </w:pPr>
            <w:r>
              <w:t xml:space="preserve">19</w:t>
            </w:r>
          </w:p>
        </w:tc>
      </w:tr>
      <w:tr>
        <w:tc>
          <w:p>
            <w:pPr>
              <w:pStyle w:val="Compact"/>
              <w:jc w:val="left"/>
            </w:pPr>
            <w:r>
              <w:t xml:space="preserve">Weeks</w:t>
            </w:r>
          </w:p>
        </w:tc>
        <w:tc>
          <w:p>
            <w:pPr>
              <w:pStyle w:val="Compact"/>
              <w:jc w:val="left"/>
            </w:pPr>
            <w:r>
              <w:t xml:space="preserve">Wet season</w:t>
            </w:r>
          </w:p>
        </w:tc>
        <w:tc>
          <w:p>
            <w:pPr>
              <w:pStyle w:val="Compact"/>
              <w:jc w:val="right"/>
            </w:pPr>
            <w:r>
              <w:t xml:space="preserve">48</w:t>
            </w:r>
          </w:p>
        </w:tc>
        <w:tc>
          <w:p>
            <w:pPr>
              <w:pStyle w:val="Compact"/>
              <w:jc w:val="right"/>
            </w:pPr>
            <w:r>
              <w:t xml:space="preserve">9.7</w:t>
            </w:r>
          </w:p>
        </w:tc>
        <w:tc>
          <w:p>
            <w:pPr>
              <w:pStyle w:val="Compact"/>
              <w:jc w:val="right"/>
            </w:pPr>
            <w:r>
              <w:t xml:space="preserve">3.8</w:t>
            </w:r>
          </w:p>
        </w:tc>
        <w:tc>
          <w:p>
            <w:pPr>
              <w:pStyle w:val="Compact"/>
              <w:jc w:val="right"/>
            </w:pPr>
            <w:r>
              <w:t xml:space="preserve">39</w:t>
            </w:r>
          </w:p>
        </w:tc>
      </w:tr>
      <w:tr>
        <w:tc>
          <w:p>
            <w:pPr>
              <w:pStyle w:val="Compact"/>
              <w:jc w:val="left"/>
            </w:pPr>
            <w:r>
              <w:t xml:space="preserve">ChrisCrk</w:t>
            </w:r>
          </w:p>
        </w:tc>
        <w:tc>
          <w:p>
            <w:pPr>
              <w:pStyle w:val="Compact"/>
              <w:jc w:val="left"/>
            </w:pPr>
            <w:r>
              <w:t xml:space="preserve">Dry season</w:t>
            </w:r>
          </w:p>
        </w:tc>
        <w:tc>
          <w:p>
            <w:pPr>
              <w:pStyle w:val="Compact"/>
              <w:jc w:val="right"/>
            </w:pPr>
            <w:r>
              <w:t xml:space="preserve">7</w:t>
            </w:r>
          </w:p>
        </w:tc>
        <w:tc>
          <w:p>
            <w:pPr>
              <w:pStyle w:val="Compact"/>
              <w:jc w:val="right"/>
            </w:pPr>
            <w:r>
              <w:t xml:space="preserve">5.9</w:t>
            </w:r>
          </w:p>
        </w:tc>
        <w:tc>
          <w:p>
            <w:pPr>
              <w:pStyle w:val="Compact"/>
              <w:jc w:val="right"/>
            </w:pPr>
            <w:r>
              <w:t xml:space="preserve">2.0</w:t>
            </w:r>
          </w:p>
        </w:tc>
        <w:tc>
          <w:p>
            <w:pPr>
              <w:pStyle w:val="Compact"/>
              <w:jc w:val="right"/>
            </w:pPr>
            <w:r>
              <w:t xml:space="preserve">33</w:t>
            </w:r>
          </w:p>
        </w:tc>
      </w:tr>
      <w:tr>
        <w:tc>
          <w:p>
            <w:pPr>
              <w:pStyle w:val="Compact"/>
              <w:jc w:val="left"/>
            </w:pPr>
            <w:r>
              <w:t xml:space="preserve">ChrisCrk</w:t>
            </w:r>
          </w:p>
        </w:tc>
        <w:tc>
          <w:p>
            <w:pPr>
              <w:pStyle w:val="Compact"/>
              <w:jc w:val="left"/>
            </w:pPr>
            <w:r>
              <w:t xml:space="preserve">Wet season</w:t>
            </w:r>
          </w:p>
        </w:tc>
        <w:tc>
          <w:p>
            <w:pPr>
              <w:pStyle w:val="Compact"/>
              <w:jc w:val="right"/>
            </w:pPr>
            <w:r>
              <w:t xml:space="preserve">42</w:t>
            </w:r>
          </w:p>
        </w:tc>
        <w:tc>
          <w:p>
            <w:pPr>
              <w:pStyle w:val="Compact"/>
              <w:jc w:val="right"/>
            </w:pPr>
            <w:r>
              <w:t xml:space="preserve">4.7</w:t>
            </w:r>
          </w:p>
        </w:tc>
        <w:tc>
          <w:p>
            <w:pPr>
              <w:pStyle w:val="Compact"/>
              <w:jc w:val="right"/>
            </w:pPr>
            <w:r>
              <w:t xml:space="preserve">2.0</w:t>
            </w:r>
          </w:p>
        </w:tc>
        <w:tc>
          <w:p>
            <w:pPr>
              <w:pStyle w:val="Compact"/>
              <w:jc w:val="right"/>
            </w:pPr>
            <w:r>
              <w:t xml:space="preserve">42</w:t>
            </w:r>
          </w:p>
        </w:tc>
      </w:tr>
      <w:tr>
        <w:tc>
          <w:p>
            <w:pPr>
              <w:pStyle w:val="Compact"/>
              <w:jc w:val="left"/>
            </w:pPr>
            <w:r>
              <w:t xml:space="preserve">LeechHead</w:t>
            </w:r>
          </w:p>
        </w:tc>
        <w:tc>
          <w:p>
            <w:pPr>
              <w:pStyle w:val="Compact"/>
              <w:jc w:val="left"/>
            </w:pPr>
            <w:r>
              <w:t xml:space="preserve">Dry season</w:t>
            </w:r>
          </w:p>
        </w:tc>
        <w:tc>
          <w:p>
            <w:pPr>
              <w:pStyle w:val="Compact"/>
              <w:jc w:val="right"/>
            </w:pPr>
            <w:r>
              <w:t xml:space="preserve">9</w:t>
            </w:r>
          </w:p>
        </w:tc>
        <w:tc>
          <w:p>
            <w:pPr>
              <w:pStyle w:val="Compact"/>
              <w:jc w:val="right"/>
            </w:pPr>
            <w:r>
              <w:t xml:space="preserve">6.3</w:t>
            </w:r>
          </w:p>
        </w:tc>
        <w:tc>
          <w:p>
            <w:pPr>
              <w:pStyle w:val="Compact"/>
              <w:jc w:val="right"/>
            </w:pPr>
            <w:r>
              <w:t xml:space="preserve">1.0</w:t>
            </w:r>
          </w:p>
        </w:tc>
        <w:tc>
          <w:p>
            <w:pPr>
              <w:pStyle w:val="Compact"/>
              <w:jc w:val="right"/>
            </w:pPr>
            <w:r>
              <w:t xml:space="preserve">15</w:t>
            </w:r>
          </w:p>
        </w:tc>
      </w:tr>
      <w:tr>
        <w:tc>
          <w:p>
            <w:pPr>
              <w:pStyle w:val="Compact"/>
              <w:jc w:val="left"/>
            </w:pPr>
            <w:r>
              <w:t xml:space="preserve">LeechHead</w:t>
            </w:r>
          </w:p>
        </w:tc>
        <w:tc>
          <w:p>
            <w:pPr>
              <w:pStyle w:val="Compact"/>
              <w:jc w:val="left"/>
            </w:pPr>
            <w:r>
              <w:t xml:space="preserve">Wet season</w:t>
            </w:r>
          </w:p>
        </w:tc>
        <w:tc>
          <w:p>
            <w:pPr>
              <w:pStyle w:val="Compact"/>
              <w:jc w:val="right"/>
            </w:pPr>
            <w:r>
              <w:t xml:space="preserve">43</w:t>
            </w:r>
          </w:p>
        </w:tc>
        <w:tc>
          <w:p>
            <w:pPr>
              <w:pStyle w:val="Compact"/>
              <w:jc w:val="right"/>
            </w:pPr>
            <w:r>
              <w:t xml:space="preserve">7.2</w:t>
            </w:r>
          </w:p>
        </w:tc>
        <w:tc>
          <w:p>
            <w:pPr>
              <w:pStyle w:val="Compact"/>
              <w:jc w:val="right"/>
            </w:pPr>
            <w:r>
              <w:t xml:space="preserve">1.8</w:t>
            </w:r>
          </w:p>
        </w:tc>
        <w:tc>
          <w:p>
            <w:pPr>
              <w:pStyle w:val="Compact"/>
              <w:jc w:val="right"/>
            </w:pPr>
            <w:r>
              <w:t xml:space="preserve">24</w:t>
            </w:r>
          </w:p>
        </w:tc>
      </w:tr>
      <w:tr>
        <w:tc>
          <w:p>
            <w:pPr>
              <w:pStyle w:val="Compact"/>
              <w:jc w:val="left"/>
            </w:pPr>
            <w:r>
              <w:t xml:space="preserve">CraggCrk</w:t>
            </w:r>
          </w:p>
        </w:tc>
        <w:tc>
          <w:p>
            <w:pPr>
              <w:pStyle w:val="Compact"/>
              <w:jc w:val="left"/>
            </w:pPr>
            <w:r>
              <w:t xml:space="preserve">Dry season</w:t>
            </w:r>
          </w:p>
        </w:tc>
        <w:tc>
          <w:p>
            <w:pPr>
              <w:pStyle w:val="Compact"/>
              <w:jc w:val="right"/>
            </w:pPr>
            <w:r>
              <w:t xml:space="preserve">8</w:t>
            </w:r>
          </w:p>
        </w:tc>
        <w:tc>
          <w:p>
            <w:pPr>
              <w:pStyle w:val="Compact"/>
              <w:jc w:val="right"/>
            </w:pPr>
            <w:r>
              <w:t xml:space="preserve">4.3</w:t>
            </w:r>
          </w:p>
        </w:tc>
        <w:tc>
          <w:p>
            <w:pPr>
              <w:pStyle w:val="Compact"/>
              <w:jc w:val="right"/>
            </w:pPr>
            <w:r>
              <w:t xml:space="preserve">1.2</w:t>
            </w:r>
          </w:p>
        </w:tc>
        <w:tc>
          <w:p>
            <w:pPr>
              <w:pStyle w:val="Compact"/>
              <w:jc w:val="right"/>
            </w:pPr>
            <w:r>
              <w:t xml:space="preserve">28</w:t>
            </w:r>
          </w:p>
        </w:tc>
      </w:tr>
      <w:tr>
        <w:tc>
          <w:p>
            <w:pPr>
              <w:pStyle w:val="Compact"/>
              <w:jc w:val="left"/>
            </w:pPr>
            <w:r>
              <w:t xml:space="preserve">CraggCrk</w:t>
            </w:r>
          </w:p>
        </w:tc>
        <w:tc>
          <w:p>
            <w:pPr>
              <w:pStyle w:val="Compact"/>
              <w:jc w:val="left"/>
            </w:pPr>
            <w:r>
              <w:t xml:space="preserve">Wet season</w:t>
            </w:r>
          </w:p>
        </w:tc>
        <w:tc>
          <w:p>
            <w:pPr>
              <w:pStyle w:val="Compact"/>
              <w:jc w:val="right"/>
            </w:pPr>
            <w:r>
              <w:t xml:space="preserve">61</w:t>
            </w:r>
          </w:p>
        </w:tc>
        <w:tc>
          <w:p>
            <w:pPr>
              <w:pStyle w:val="Compact"/>
              <w:jc w:val="right"/>
            </w:pPr>
            <w:r>
              <w:t xml:space="preserve">4.7</w:t>
            </w:r>
          </w:p>
        </w:tc>
        <w:tc>
          <w:p>
            <w:pPr>
              <w:pStyle w:val="Compact"/>
              <w:jc w:val="right"/>
            </w:pPr>
            <w:r>
              <w:t xml:space="preserve">1.5</w:t>
            </w:r>
          </w:p>
        </w:tc>
        <w:tc>
          <w:p>
            <w:pPr>
              <w:pStyle w:val="Compact"/>
              <w:jc w:val="right"/>
            </w:pPr>
            <w:r>
              <w:t xml:space="preserve">32</w:t>
            </w:r>
          </w:p>
        </w:tc>
      </w:tr>
      <w:tr>
        <w:tc>
          <w:p>
            <w:pPr>
              <w:pStyle w:val="Compact"/>
              <w:jc w:val="left"/>
            </w:pPr>
            <w:r>
              <w:t xml:space="preserve">WestLeech</w:t>
            </w:r>
          </w:p>
        </w:tc>
        <w:tc>
          <w:p>
            <w:pPr>
              <w:pStyle w:val="Compact"/>
              <w:jc w:val="left"/>
            </w:pPr>
            <w:r>
              <w:t xml:space="preserve">Dry season</w:t>
            </w:r>
          </w:p>
        </w:tc>
        <w:tc>
          <w:p>
            <w:pPr>
              <w:pStyle w:val="Compact"/>
              <w:jc w:val="right"/>
            </w:pPr>
            <w:r>
              <w:t xml:space="preserve">7</w:t>
            </w:r>
          </w:p>
        </w:tc>
        <w:tc>
          <w:p>
            <w:pPr>
              <w:pStyle w:val="Compact"/>
              <w:jc w:val="right"/>
            </w:pPr>
            <w:r>
              <w:t xml:space="preserve">4.7</w:t>
            </w:r>
          </w:p>
        </w:tc>
        <w:tc>
          <w:p>
            <w:pPr>
              <w:pStyle w:val="Compact"/>
              <w:jc w:val="right"/>
            </w:pPr>
            <w:r>
              <w:t xml:space="preserve">1.4</w:t>
            </w:r>
          </w:p>
        </w:tc>
        <w:tc>
          <w:p>
            <w:pPr>
              <w:pStyle w:val="Compact"/>
              <w:jc w:val="right"/>
            </w:pPr>
            <w:r>
              <w:t xml:space="preserve">29</w:t>
            </w:r>
          </w:p>
        </w:tc>
      </w:tr>
      <w:tr>
        <w:tc>
          <w:p>
            <w:pPr>
              <w:pStyle w:val="Compact"/>
              <w:jc w:val="left"/>
            </w:pPr>
            <w:r>
              <w:t xml:space="preserve">WestLeech</w:t>
            </w:r>
          </w:p>
        </w:tc>
        <w:tc>
          <w:p>
            <w:pPr>
              <w:pStyle w:val="Compact"/>
              <w:jc w:val="left"/>
            </w:pPr>
            <w:r>
              <w:t xml:space="preserve">Wet season</w:t>
            </w:r>
          </w:p>
        </w:tc>
        <w:tc>
          <w:p>
            <w:pPr>
              <w:pStyle w:val="Compact"/>
              <w:jc w:val="right"/>
            </w:pPr>
            <w:r>
              <w:t xml:space="preserve">60</w:t>
            </w:r>
          </w:p>
        </w:tc>
        <w:tc>
          <w:p>
            <w:pPr>
              <w:pStyle w:val="Compact"/>
              <w:jc w:val="right"/>
            </w:pPr>
            <w:r>
              <w:t xml:space="preserve">5.7</w:t>
            </w:r>
          </w:p>
        </w:tc>
        <w:tc>
          <w:p>
            <w:pPr>
              <w:pStyle w:val="Compact"/>
              <w:jc w:val="right"/>
            </w:pPr>
            <w:r>
              <w:t xml:space="preserve">2.3</w:t>
            </w:r>
          </w:p>
        </w:tc>
        <w:tc>
          <w:p>
            <w:pPr>
              <w:pStyle w:val="Compact"/>
              <w:jc w:val="right"/>
            </w:pPr>
            <w:r>
              <w:t xml:space="preserve">41</w:t>
            </w:r>
          </w:p>
        </w:tc>
      </w:tr>
      <w:tr>
        <w:tc>
          <w:p>
            <w:pPr>
              <w:pStyle w:val="Compact"/>
              <w:jc w:val="left"/>
            </w:pPr>
            <w:r>
              <w:t xml:space="preserve">Tunnel</w:t>
            </w:r>
          </w:p>
        </w:tc>
        <w:tc>
          <w:p>
            <w:pPr>
              <w:pStyle w:val="Compact"/>
              <w:jc w:val="left"/>
            </w:pPr>
            <w:r>
              <w:t xml:space="preserve">Dry season</w:t>
            </w:r>
          </w:p>
        </w:tc>
        <w:tc>
          <w:p>
            <w:pPr>
              <w:pStyle w:val="Compact"/>
              <w:jc w:val="right"/>
            </w:pPr>
            <w:r>
              <w:t xml:space="preserve">14</w:t>
            </w:r>
          </w:p>
        </w:tc>
        <w:tc>
          <w:p>
            <w:pPr>
              <w:pStyle w:val="Compact"/>
              <w:jc w:val="right"/>
            </w:pPr>
            <w:r>
              <w:t xml:space="preserve">4.2</w:t>
            </w:r>
          </w:p>
        </w:tc>
        <w:tc>
          <w:p>
            <w:pPr>
              <w:pStyle w:val="Compact"/>
              <w:jc w:val="right"/>
            </w:pPr>
            <w:r>
              <w:t xml:space="preserve">2.2</w:t>
            </w:r>
          </w:p>
        </w:tc>
        <w:tc>
          <w:p>
            <w:pPr>
              <w:pStyle w:val="Compact"/>
              <w:jc w:val="right"/>
            </w:pPr>
            <w:r>
              <w:t xml:space="preserve">52</w:t>
            </w:r>
          </w:p>
        </w:tc>
      </w:tr>
      <w:tr>
        <w:tc>
          <w:p>
            <w:pPr>
              <w:pStyle w:val="Compact"/>
              <w:jc w:val="left"/>
            </w:pPr>
            <w:r>
              <w:t xml:space="preserve">Tunnel</w:t>
            </w:r>
          </w:p>
        </w:tc>
        <w:tc>
          <w:p>
            <w:pPr>
              <w:pStyle w:val="Compact"/>
              <w:jc w:val="left"/>
            </w:pPr>
            <w:r>
              <w:t xml:space="preserve">Wet season</w:t>
            </w:r>
          </w:p>
        </w:tc>
        <w:tc>
          <w:p>
            <w:pPr>
              <w:pStyle w:val="Compact"/>
              <w:jc w:val="right"/>
            </w:pPr>
            <w:r>
              <w:t xml:space="preserve">60</w:t>
            </w:r>
          </w:p>
        </w:tc>
        <w:tc>
          <w:p>
            <w:pPr>
              <w:pStyle w:val="Compact"/>
              <w:jc w:val="right"/>
            </w:pPr>
            <w:r>
              <w:t xml:space="preserve">4.9</w:t>
            </w:r>
          </w:p>
        </w:tc>
        <w:tc>
          <w:p>
            <w:pPr>
              <w:pStyle w:val="Compact"/>
              <w:jc w:val="right"/>
            </w:pPr>
            <w:r>
              <w:t xml:space="preserve">1.6</w:t>
            </w:r>
          </w:p>
        </w:tc>
        <w:tc>
          <w:p>
            <w:pPr>
              <w:pStyle w:val="Compact"/>
              <w:jc w:val="right"/>
            </w:pPr>
            <w:r>
              <w:t xml:space="preserve">33</w:t>
            </w:r>
          </w:p>
        </w:tc>
      </w:tr>
    </w:tbl>
    <w:p>
      <w:pPr>
        <w:pStyle w:val="BodyText"/>
      </w:pPr>
      <w:r>
        <w:br/>
      </w:r>
    </w:p>
    <w:p>
      <w:pPr>
        <w:pStyle w:val="Heading4"/>
      </w:pPr>
      <w:bookmarkStart w:id="56" w:name="stormflow-representation"/>
      <w:r>
        <w:t xml:space="preserve">Stormflow representation</w:t>
      </w:r>
      <w:bookmarkEnd w:id="56"/>
    </w:p>
    <w:p>
      <w:pPr>
        <w:pStyle w:val="FirstParagraph"/>
      </w:pPr>
      <w:r>
        <w:t xml:space="preserve">During the wet season, rain events are the dominant hydrologic forcing. Table</w:t>
      </w:r>
      <w:r>
        <w:t xml:space="preserve"> </w:t>
      </w:r>
      <w:r>
        <w:t xml:space="preserve">11</w:t>
      </w:r>
      <w:r>
        <w:t xml:space="preserve"> </w:t>
      </w:r>
      <w:r>
        <w:t xml:space="preserve">summarizes the number of samples collected across the LWSA sub-basin sites by sample type.</w:t>
      </w:r>
    </w:p>
    <w:p>
      <w:pPr>
        <w:pStyle w:val="BodyText"/>
      </w:pPr>
      <w:r>
        <w:br/>
      </w:r>
    </w:p>
    <w:p>
      <w:pPr>
        <w:pStyle w:val="TableCaption"/>
      </w:pPr>
      <w:r>
        <w:t xml:space="preserve">Table 11: Summary of wet-season samples collected across LWSA subbasin sites from Oct 2018 to Feb 2020</w:t>
      </w:r>
    </w:p>
    <w:tbl>
      <w:tblPr>
        <w:tblStyle w:val="Table"/>
        <w:tblW w:type="pct" w:w="0.0"/>
        <w:tblLook w:firstRow="1"/>
        <w:tblCaption w:val="Table 11: Summary of wet-season samples collected across LWSA subbasin sites from Oct 2018 to Feb 2020"/>
      </w:tblPr>
      <w:tblGrid/>
      <w:tr>
        <w:trPr>
          <w:cnfStyle w:firstRow="1"/>
        </w:trPr>
        <w:tc>
          <w:tcPr>
            <w:tcBorders>
              <w:bottom w:val="single"/>
            </w:tcBorders>
            <w:vAlign w:val="bottom"/>
          </w:tcPr>
          <w:p>
            <w:pPr>
              <w:pStyle w:val="Compact"/>
              <w:jc w:val="left"/>
            </w:pPr>
            <w:r>
              <w:t xml:space="preserve">Site</w:t>
            </w:r>
          </w:p>
        </w:tc>
        <w:tc>
          <w:tcPr>
            <w:tcBorders>
              <w:bottom w:val="single"/>
            </w:tcBorders>
            <w:vAlign w:val="bottom"/>
          </w:tcPr>
          <w:p>
            <w:pPr>
              <w:pStyle w:val="Compact"/>
              <w:jc w:val="left"/>
            </w:pPr>
            <w:r>
              <w:t xml:space="preserve">Sample type</w:t>
            </w:r>
          </w:p>
        </w:tc>
        <w:tc>
          <w:tcPr>
            <w:tcBorders>
              <w:bottom w:val="single"/>
            </w:tcBorders>
            <w:vAlign w:val="bottom"/>
          </w:tcPr>
          <w:p>
            <w:pPr>
              <w:pStyle w:val="Compact"/>
              <w:jc w:val="right"/>
            </w:pPr>
            <w:r>
              <w:t xml:space="preserve">Count</w:t>
            </w:r>
          </w:p>
        </w:tc>
      </w:tr>
      <w:tr>
        <w:tc>
          <w:p>
            <w:pPr>
              <w:pStyle w:val="Compact"/>
              <w:jc w:val="left"/>
            </w:pPr>
            <w:r>
              <w:t xml:space="preserve">Weeks</w:t>
            </w:r>
          </w:p>
        </w:tc>
        <w:tc>
          <w:p>
            <w:pPr>
              <w:pStyle w:val="Compact"/>
              <w:jc w:val="left"/>
            </w:pPr>
            <w:r>
              <w:t xml:space="preserve">Grab</w:t>
            </w:r>
          </w:p>
        </w:tc>
        <w:tc>
          <w:p>
            <w:pPr>
              <w:pStyle w:val="Compact"/>
              <w:jc w:val="right"/>
            </w:pPr>
            <w:r>
              <w:t xml:space="preserve">17</w:t>
            </w:r>
          </w:p>
        </w:tc>
      </w:tr>
      <w:tr>
        <w:tc>
          <w:p>
            <w:pPr>
              <w:pStyle w:val="Compact"/>
              <w:jc w:val="left"/>
            </w:pPr>
            <w:r>
              <w:t xml:space="preserve">Weeks</w:t>
            </w:r>
          </w:p>
        </w:tc>
        <w:tc>
          <w:p>
            <w:pPr>
              <w:pStyle w:val="Compact"/>
              <w:jc w:val="left"/>
            </w:pPr>
            <w:r>
              <w:t xml:space="preserve">Rack</w:t>
            </w:r>
          </w:p>
        </w:tc>
        <w:tc>
          <w:p>
            <w:pPr>
              <w:pStyle w:val="Compact"/>
              <w:jc w:val="right"/>
            </w:pPr>
            <w:r>
              <w:t xml:space="preserve">31</w:t>
            </w:r>
          </w:p>
        </w:tc>
      </w:tr>
      <w:tr>
        <w:tc>
          <w:p>
            <w:pPr>
              <w:pStyle w:val="Compact"/>
              <w:jc w:val="left"/>
            </w:pPr>
            <w:r>
              <w:t xml:space="preserve">ChrisCrk</w:t>
            </w:r>
          </w:p>
        </w:tc>
        <w:tc>
          <w:p>
            <w:pPr>
              <w:pStyle w:val="Compact"/>
              <w:jc w:val="left"/>
            </w:pPr>
            <w:r>
              <w:t xml:space="preserve">Grab</w:t>
            </w:r>
          </w:p>
        </w:tc>
        <w:tc>
          <w:p>
            <w:pPr>
              <w:pStyle w:val="Compact"/>
              <w:jc w:val="right"/>
            </w:pPr>
            <w:r>
              <w:t xml:space="preserve">15</w:t>
            </w:r>
          </w:p>
        </w:tc>
      </w:tr>
      <w:tr>
        <w:tc>
          <w:p>
            <w:pPr>
              <w:pStyle w:val="Compact"/>
              <w:jc w:val="left"/>
            </w:pPr>
            <w:r>
              <w:t xml:space="preserve">ChrisCrk</w:t>
            </w:r>
          </w:p>
        </w:tc>
        <w:tc>
          <w:p>
            <w:pPr>
              <w:pStyle w:val="Compact"/>
              <w:jc w:val="left"/>
            </w:pPr>
            <w:r>
              <w:t xml:space="preserve">Rack</w:t>
            </w:r>
          </w:p>
        </w:tc>
        <w:tc>
          <w:p>
            <w:pPr>
              <w:pStyle w:val="Compact"/>
              <w:jc w:val="right"/>
            </w:pPr>
            <w:r>
              <w:t xml:space="preserve">27</w:t>
            </w:r>
          </w:p>
        </w:tc>
      </w:tr>
      <w:tr>
        <w:tc>
          <w:p>
            <w:pPr>
              <w:pStyle w:val="Compact"/>
              <w:jc w:val="left"/>
            </w:pPr>
            <w:r>
              <w:t xml:space="preserve">LeechHead</w:t>
            </w:r>
          </w:p>
        </w:tc>
        <w:tc>
          <w:p>
            <w:pPr>
              <w:pStyle w:val="Compact"/>
              <w:jc w:val="left"/>
            </w:pPr>
            <w:r>
              <w:t xml:space="preserve">Grab</w:t>
            </w:r>
          </w:p>
        </w:tc>
        <w:tc>
          <w:p>
            <w:pPr>
              <w:pStyle w:val="Compact"/>
              <w:jc w:val="right"/>
            </w:pPr>
            <w:r>
              <w:t xml:space="preserve">13</w:t>
            </w:r>
          </w:p>
        </w:tc>
      </w:tr>
      <w:tr>
        <w:tc>
          <w:p>
            <w:pPr>
              <w:pStyle w:val="Compact"/>
              <w:jc w:val="left"/>
            </w:pPr>
            <w:r>
              <w:t xml:space="preserve">LeechHead</w:t>
            </w:r>
          </w:p>
        </w:tc>
        <w:tc>
          <w:p>
            <w:pPr>
              <w:pStyle w:val="Compact"/>
              <w:jc w:val="left"/>
            </w:pPr>
            <w:r>
              <w:t xml:space="preserve">Rack</w:t>
            </w:r>
          </w:p>
        </w:tc>
        <w:tc>
          <w:p>
            <w:pPr>
              <w:pStyle w:val="Compact"/>
              <w:jc w:val="right"/>
            </w:pPr>
            <w:r>
              <w:t xml:space="preserve">30</w:t>
            </w:r>
          </w:p>
        </w:tc>
      </w:tr>
      <w:tr>
        <w:tc>
          <w:p>
            <w:pPr>
              <w:pStyle w:val="Compact"/>
              <w:jc w:val="left"/>
            </w:pPr>
            <w:r>
              <w:t xml:space="preserve">CraggCrk</w:t>
            </w:r>
          </w:p>
        </w:tc>
        <w:tc>
          <w:p>
            <w:pPr>
              <w:pStyle w:val="Compact"/>
              <w:jc w:val="left"/>
            </w:pPr>
            <w:r>
              <w:t xml:space="preserve">Grab</w:t>
            </w:r>
          </w:p>
        </w:tc>
        <w:tc>
          <w:p>
            <w:pPr>
              <w:pStyle w:val="Compact"/>
              <w:jc w:val="right"/>
            </w:pPr>
            <w:r>
              <w:t xml:space="preserve">26</w:t>
            </w:r>
          </w:p>
        </w:tc>
      </w:tr>
      <w:tr>
        <w:tc>
          <w:p>
            <w:pPr>
              <w:pStyle w:val="Compact"/>
              <w:jc w:val="left"/>
            </w:pPr>
            <w:r>
              <w:t xml:space="preserve">CraggCrk</w:t>
            </w:r>
          </w:p>
        </w:tc>
        <w:tc>
          <w:p>
            <w:pPr>
              <w:pStyle w:val="Compact"/>
              <w:jc w:val="left"/>
            </w:pPr>
            <w:r>
              <w:t xml:space="preserve">Rack</w:t>
            </w:r>
          </w:p>
        </w:tc>
        <w:tc>
          <w:p>
            <w:pPr>
              <w:pStyle w:val="Compact"/>
              <w:jc w:val="right"/>
            </w:pPr>
            <w:r>
              <w:t xml:space="preserve">35</w:t>
            </w:r>
          </w:p>
        </w:tc>
      </w:tr>
      <w:tr>
        <w:tc>
          <w:p>
            <w:pPr>
              <w:pStyle w:val="Compact"/>
              <w:jc w:val="left"/>
            </w:pPr>
            <w:r>
              <w:t xml:space="preserve">WestLeech</w:t>
            </w:r>
          </w:p>
        </w:tc>
        <w:tc>
          <w:p>
            <w:pPr>
              <w:pStyle w:val="Compact"/>
              <w:jc w:val="left"/>
            </w:pPr>
            <w:r>
              <w:t xml:space="preserve">Grab</w:t>
            </w:r>
          </w:p>
        </w:tc>
        <w:tc>
          <w:p>
            <w:pPr>
              <w:pStyle w:val="Compact"/>
              <w:jc w:val="right"/>
            </w:pPr>
            <w:r>
              <w:t xml:space="preserve">17</w:t>
            </w:r>
          </w:p>
        </w:tc>
      </w:tr>
      <w:tr>
        <w:tc>
          <w:p>
            <w:pPr>
              <w:pStyle w:val="Compact"/>
              <w:jc w:val="left"/>
            </w:pPr>
            <w:r>
              <w:t xml:space="preserve">WestLeech</w:t>
            </w:r>
          </w:p>
        </w:tc>
        <w:tc>
          <w:p>
            <w:pPr>
              <w:pStyle w:val="Compact"/>
              <w:jc w:val="left"/>
            </w:pPr>
            <w:r>
              <w:t xml:space="preserve">Rack</w:t>
            </w:r>
          </w:p>
        </w:tc>
        <w:tc>
          <w:p>
            <w:pPr>
              <w:pStyle w:val="Compact"/>
              <w:jc w:val="right"/>
            </w:pPr>
            <w:r>
              <w:t xml:space="preserve">43</w:t>
            </w:r>
          </w:p>
        </w:tc>
      </w:tr>
      <w:tr>
        <w:tc>
          <w:p>
            <w:pPr>
              <w:pStyle w:val="Compact"/>
              <w:jc w:val="left"/>
            </w:pPr>
            <w:r>
              <w:t xml:space="preserve">Tunnel</w:t>
            </w:r>
          </w:p>
        </w:tc>
        <w:tc>
          <w:p>
            <w:pPr>
              <w:pStyle w:val="Compact"/>
              <w:jc w:val="left"/>
            </w:pPr>
            <w:r>
              <w:t xml:space="preserve">Grab</w:t>
            </w:r>
          </w:p>
        </w:tc>
        <w:tc>
          <w:p>
            <w:pPr>
              <w:pStyle w:val="Compact"/>
              <w:jc w:val="right"/>
            </w:pPr>
            <w:r>
              <w:t xml:space="preserve">26</w:t>
            </w:r>
          </w:p>
        </w:tc>
      </w:tr>
      <w:tr>
        <w:tc>
          <w:p>
            <w:pPr>
              <w:pStyle w:val="Compact"/>
              <w:jc w:val="left"/>
            </w:pPr>
            <w:r>
              <w:t xml:space="preserve">Tunnel</w:t>
            </w:r>
          </w:p>
        </w:tc>
        <w:tc>
          <w:p>
            <w:pPr>
              <w:pStyle w:val="Compact"/>
              <w:jc w:val="left"/>
            </w:pPr>
            <w:r>
              <w:t xml:space="preserve">Rack</w:t>
            </w:r>
          </w:p>
        </w:tc>
        <w:tc>
          <w:p>
            <w:pPr>
              <w:pStyle w:val="Compact"/>
              <w:jc w:val="right"/>
            </w:pPr>
            <w:r>
              <w:t xml:space="preserve">34</w:t>
            </w:r>
          </w:p>
        </w:tc>
      </w:tr>
      <w:tr>
        <w:tc>
          <w:p>
            <w:pPr>
              <w:pStyle w:val="Compact"/>
              <w:jc w:val="left"/>
            </w:pPr>
            <w:r>
              <w:t xml:space="preserve">TOTAL</w:t>
            </w:r>
          </w:p>
        </w:tc>
        <w:tc>
          <w:p>
            <w:pPr>
              <w:pStyle w:val="Compact"/>
              <w:jc w:val="left"/>
            </w:pPr>
            <w:r>
              <w:t xml:space="preserve">Grab</w:t>
            </w:r>
          </w:p>
        </w:tc>
        <w:tc>
          <w:p>
            <w:pPr>
              <w:pStyle w:val="Compact"/>
              <w:jc w:val="right"/>
            </w:pPr>
            <w:r>
              <w:t xml:space="preserve">114</w:t>
            </w:r>
          </w:p>
        </w:tc>
      </w:tr>
      <w:tr>
        <w:tc>
          <w:p>
            <w:pPr>
              <w:pStyle w:val="Compact"/>
              <w:jc w:val="left"/>
            </w:pPr>
            <w:r>
              <w:t xml:space="preserve">TOTAL</w:t>
            </w:r>
          </w:p>
        </w:tc>
        <w:tc>
          <w:p>
            <w:pPr>
              <w:pStyle w:val="Compact"/>
              <w:jc w:val="left"/>
            </w:pPr>
            <w:r>
              <w:t xml:space="preserve">Rack</w:t>
            </w:r>
          </w:p>
        </w:tc>
        <w:tc>
          <w:p>
            <w:pPr>
              <w:pStyle w:val="Compact"/>
              <w:jc w:val="right"/>
            </w:pPr>
            <w:r>
              <w:t xml:space="preserve">200</w:t>
            </w:r>
          </w:p>
        </w:tc>
      </w:tr>
    </w:tbl>
    <w:p>
      <w:pPr>
        <w:pStyle w:val="BodyText"/>
      </w:pPr>
      <w:r>
        <w:br/>
      </w:r>
    </w:p>
    <w:p>
      <w:pPr>
        <w:pStyle w:val="BodyText"/>
      </w:pPr>
      <w:r>
        <w:t xml:space="preserve">Stormflow samples collected during stream rise via vertical Racks showed higher DOC than Grab samples manually collected across wet seasons (Figure</w:t>
      </w:r>
      <w:r>
        <w:t xml:space="preserve"> </w:t>
      </w:r>
      <w:r>
        <w:t xml:space="preserve">18</w:t>
      </w:r>
      <w:r>
        <w:t xml:space="preserve"> </w:t>
      </w:r>
      <w:r>
        <w:t xml:space="preserve">&amp;</w:t>
      </w:r>
      <w:r>
        <w:t xml:space="preserve"> </w:t>
      </w:r>
      <w:r>
        <w:t xml:space="preserve">19</w:t>
      </w:r>
      <w:r>
        <w:t xml:space="preserve">). Results of wet-season sample analysis are summarized in Table</w:t>
      </w:r>
      <w:r>
        <w:t xml:space="preserve"> </w:t>
      </w:r>
      <w:r>
        <w:t xml:space="preserve">12</w:t>
      </w:r>
      <w:r>
        <w:t xml:space="preserve">.</w:t>
      </w:r>
    </w:p>
    <w:p>
      <w:pPr>
        <w:pStyle w:val="CaptionedFigure"/>
      </w:pPr>
      <w:r>
        <w:drawing>
          <wp:inline>
            <wp:extent cx="5715000" cy="3522244"/>
            <wp:effectExtent b="0" l="0" r="0" t="0"/>
            <wp:docPr descr="Figure 18:  Wet-season dissolved organic carbon concentrations grouped by site and sample collection method, where Grab samples were manually obtained (n = 114) and Rack samples were collected passively on vertical racks fit with siphon sampler bottles (n = 200)." title="" id="1" name="Picture"/>
            <a:graphic>
              <a:graphicData uri="http://schemas.openxmlformats.org/drawingml/2006/picture">
                <pic:pic>
                  <pic:nvPicPr>
                    <pic:cNvPr descr="R-outputs_UBC-forWater-MSc_HMc/figures/DOC_subbasin_GvsR_boxplot.png" id="0" name="Picture"/>
                    <pic:cNvPicPr>
                      <a:picLocks noChangeArrowheads="1" noChangeAspect="1"/>
                    </pic:cNvPicPr>
                  </pic:nvPicPr>
                  <pic:blipFill>
                    <a:blip r:embed="rId57"/>
                    <a:stretch>
                      <a:fillRect/>
                    </a:stretch>
                  </pic:blipFill>
                  <pic:spPr bwMode="auto">
                    <a:xfrm>
                      <a:off x="0" y="0"/>
                      <a:ext cx="5715000" cy="3522244"/>
                    </a:xfrm>
                    <a:prstGeom prst="rect">
                      <a:avLst/>
                    </a:prstGeom>
                    <a:noFill/>
                    <a:ln w="9525">
                      <a:noFill/>
                      <a:headEnd/>
                      <a:tailEnd/>
                    </a:ln>
                  </pic:spPr>
                </pic:pic>
              </a:graphicData>
            </a:graphic>
          </wp:inline>
        </w:drawing>
      </w:r>
    </w:p>
    <w:p>
      <w:pPr>
        <w:pStyle w:val="ImageCaption"/>
      </w:pPr>
      <w:r>
        <w:t xml:space="preserve">Figure 18:</w:t>
      </w:r>
      <w:r>
        <w:t xml:space="preserve"> </w:t>
      </w:r>
      <w:r>
        <w:t xml:space="preserve"> </w:t>
      </w:r>
      <w:r>
        <w:rPr>
          <w:i/>
        </w:rPr>
        <w:t xml:space="preserve">Wet-season dissolved organic carbon concentrations grouped by site and sample collection method, where Grab samples were manually obtained (n = 114) and Rack samples were collected passively on vertical racks fit with siphon sampler bottles (n = 200).</w:t>
      </w:r>
    </w:p>
    <w:p>
      <w:pPr>
        <w:pStyle w:val="BodyText"/>
      </w:pPr>
      <w:r>
        <w:br/>
      </w:r>
    </w:p>
    <w:p>
      <w:pPr>
        <w:pStyle w:val="BodyText"/>
      </w:pPr>
      <w:r>
        <w:drawing>
          <wp:inline>
            <wp:extent cx="5715000" cy="3527777"/>
            <wp:effectExtent b="0" l="0" r="0" t="0"/>
            <wp:docPr descr="Figure 19:  Density distribution of dissolved organic carbon concentrations grouped by site and sample collection method, where Grab samples were manually obtained (n = 114) and Rack samples were collected passively on vertical racks fit with siphon sampler bottles (n = 200)." title="" id="1" name="Picture"/>
            <a:graphic>
              <a:graphicData uri="http://schemas.openxmlformats.org/drawingml/2006/picture">
                <pic:pic>
                  <pic:nvPicPr>
                    <pic:cNvPr descr="R-outputs_UBC-forWater-MSc_HMc/figures/DOC_subbasin-ridgeplot_GvsR.png" id="0" name="Picture"/>
                    <pic:cNvPicPr>
                      <a:picLocks noChangeArrowheads="1" noChangeAspect="1"/>
                    </pic:cNvPicPr>
                  </pic:nvPicPr>
                  <pic:blipFill>
                    <a:blip r:embed="rId58"/>
                    <a:stretch>
                      <a:fillRect/>
                    </a:stretch>
                  </pic:blipFill>
                  <pic:spPr bwMode="auto">
                    <a:xfrm>
                      <a:off x="0" y="0"/>
                      <a:ext cx="5715000" cy="3527777"/>
                    </a:xfrm>
                    <a:prstGeom prst="rect">
                      <a:avLst/>
                    </a:prstGeom>
                    <a:noFill/>
                    <a:ln w="9525">
                      <a:noFill/>
                      <a:headEnd/>
                      <a:tailEnd/>
                    </a:ln>
                  </pic:spPr>
                </pic:pic>
              </a:graphicData>
            </a:graphic>
          </wp:inline>
        </w:drawing>
      </w:r>
      <w:r>
        <w:br/>
      </w:r>
    </w:p>
    <w:p>
      <w:pPr>
        <w:pStyle w:val="TableCaption"/>
      </w:pPr>
      <w:r>
        <w:t xml:space="preserve">Table 12:</w:t>
      </w:r>
      <w:r>
        <w:t xml:space="preserve"> </w:t>
      </w:r>
      <w:r>
        <w:rPr>
          <w:i/>
        </w:rPr>
        <w:t xml:space="preserve">Results of wet-season samples collected across LWSA subbasin sites from Oct 2018 to Feb 2020</w:t>
      </w:r>
    </w:p>
    <w:tbl>
      <w:tblPr>
        <w:tblStyle w:val="Table"/>
        <w:tblW w:type="pct" w:w="0.0"/>
        <w:tblLook w:firstRow="1"/>
        <w:tblCaption w:val="Table 12: Results of wet-season samples collected across LWSA subbasin sites from Oct 2018 to Feb 2020"/>
      </w:tblPr>
      <w:tblGrid/>
      <w:tr>
        <w:trPr>
          <w:cnfStyle w:firstRow="1"/>
        </w:trPr>
        <w:tc>
          <w:tcPr>
            <w:tcBorders>
              <w:bottom w:val="single"/>
            </w:tcBorders>
            <w:vAlign w:val="bottom"/>
          </w:tcPr>
          <w:p>
            <w:pPr>
              <w:pStyle w:val="Compact"/>
              <w:jc w:val="left"/>
            </w:pPr>
            <w:r>
              <w:t xml:space="preserve">Site</w:t>
            </w:r>
          </w:p>
        </w:tc>
        <w:tc>
          <w:tcPr>
            <w:tcBorders>
              <w:bottom w:val="single"/>
            </w:tcBorders>
            <w:vAlign w:val="bottom"/>
          </w:tcPr>
          <w:p>
            <w:pPr>
              <w:pStyle w:val="Compact"/>
              <w:jc w:val="left"/>
            </w:pPr>
            <w:r>
              <w:t xml:space="preserve">Sample type</w:t>
            </w:r>
          </w:p>
        </w:tc>
        <w:tc>
          <w:tcPr>
            <w:tcBorders>
              <w:bottom w:val="single"/>
            </w:tcBorders>
            <w:vAlign w:val="bottom"/>
          </w:tcPr>
          <w:p>
            <w:pPr>
              <w:pStyle w:val="Compact"/>
              <w:jc w:val="right"/>
            </w:pPr>
            <w:r>
              <w:t xml:space="preserve">DOC mean (mg/L)</w:t>
            </w:r>
          </w:p>
        </w:tc>
        <w:tc>
          <w:tcPr>
            <w:tcBorders>
              <w:bottom w:val="single"/>
            </w:tcBorders>
            <w:vAlign w:val="bottom"/>
          </w:tcPr>
          <w:p>
            <w:pPr>
              <w:pStyle w:val="Compact"/>
              <w:jc w:val="right"/>
            </w:pPr>
            <w:r>
              <w:t xml:space="preserve">std.dev. (± mg/L)</w:t>
            </w:r>
          </w:p>
        </w:tc>
        <w:tc>
          <w:tcPr>
            <w:tcBorders>
              <w:bottom w:val="single"/>
            </w:tcBorders>
            <w:vAlign w:val="bottom"/>
          </w:tcPr>
          <w:p>
            <w:pPr>
              <w:pStyle w:val="Compact"/>
              <w:jc w:val="right"/>
            </w:pPr>
            <w:r>
              <w:t xml:space="preserve">RSD (±%)</w:t>
            </w:r>
          </w:p>
        </w:tc>
        <w:tc>
          <w:tcPr>
            <w:tcBorders>
              <w:bottom w:val="single"/>
            </w:tcBorders>
            <w:vAlign w:val="bottom"/>
          </w:tcPr>
          <w:p>
            <w:pPr>
              <w:pStyle w:val="Compact"/>
              <w:jc w:val="right"/>
            </w:pPr>
            <w:r>
              <w:t xml:space="preserve">min DOC</w:t>
            </w:r>
          </w:p>
        </w:tc>
        <w:tc>
          <w:tcPr>
            <w:tcBorders>
              <w:bottom w:val="single"/>
            </w:tcBorders>
            <w:vAlign w:val="bottom"/>
          </w:tcPr>
          <w:p>
            <w:pPr>
              <w:pStyle w:val="Compact"/>
              <w:jc w:val="right"/>
            </w:pPr>
            <w:r>
              <w:t xml:space="preserve">max DOC</w:t>
            </w:r>
          </w:p>
        </w:tc>
      </w:tr>
      <w:tr>
        <w:tc>
          <w:p>
            <w:pPr>
              <w:pStyle w:val="Compact"/>
              <w:jc w:val="left"/>
            </w:pPr>
            <w:r>
              <w:t xml:space="preserve">Weeks</w:t>
            </w:r>
          </w:p>
        </w:tc>
        <w:tc>
          <w:p>
            <w:pPr>
              <w:pStyle w:val="Compact"/>
              <w:jc w:val="left"/>
            </w:pPr>
            <w:r>
              <w:t xml:space="preserve">Grab</w:t>
            </w:r>
          </w:p>
        </w:tc>
        <w:tc>
          <w:p>
            <w:pPr>
              <w:pStyle w:val="Compact"/>
              <w:jc w:val="right"/>
            </w:pPr>
            <w:r>
              <w:t xml:space="preserve">9.135765</w:t>
            </w:r>
          </w:p>
        </w:tc>
        <w:tc>
          <w:p>
            <w:pPr>
              <w:pStyle w:val="Compact"/>
              <w:jc w:val="right"/>
            </w:pPr>
            <w:r>
              <w:t xml:space="preserve">3.163641</w:t>
            </w:r>
          </w:p>
        </w:tc>
        <w:tc>
          <w:p>
            <w:pPr>
              <w:pStyle w:val="Compact"/>
              <w:jc w:val="right"/>
            </w:pPr>
            <w:r>
              <w:t xml:space="preserve">34.62919</w:t>
            </w:r>
          </w:p>
        </w:tc>
        <w:tc>
          <w:p>
            <w:pPr>
              <w:pStyle w:val="Compact"/>
              <w:jc w:val="right"/>
            </w:pPr>
            <w:r>
              <w:t xml:space="preserve">6.376</w:t>
            </w:r>
          </w:p>
        </w:tc>
        <w:tc>
          <w:p>
            <w:pPr>
              <w:pStyle w:val="Compact"/>
              <w:jc w:val="right"/>
            </w:pPr>
            <w:r>
              <w:t xml:space="preserve">18.740</w:t>
            </w:r>
          </w:p>
        </w:tc>
      </w:tr>
      <w:tr>
        <w:tc>
          <w:p>
            <w:pPr>
              <w:pStyle w:val="Compact"/>
              <w:jc w:val="left"/>
            </w:pPr>
            <w:r>
              <w:t xml:space="preserve">Weeks</w:t>
            </w:r>
          </w:p>
        </w:tc>
        <w:tc>
          <w:p>
            <w:pPr>
              <w:pStyle w:val="Compact"/>
              <w:jc w:val="left"/>
            </w:pPr>
            <w:r>
              <w:t xml:space="preserve">Rack</w:t>
            </w:r>
          </w:p>
        </w:tc>
        <w:tc>
          <w:p>
            <w:pPr>
              <w:pStyle w:val="Compact"/>
              <w:jc w:val="right"/>
            </w:pPr>
            <w:r>
              <w:t xml:space="preserve">9.965065</w:t>
            </w:r>
          </w:p>
        </w:tc>
        <w:tc>
          <w:p>
            <w:pPr>
              <w:pStyle w:val="Compact"/>
              <w:jc w:val="right"/>
            </w:pPr>
            <w:r>
              <w:t xml:space="preserve">4.082644</w:t>
            </w:r>
          </w:p>
        </w:tc>
        <w:tc>
          <w:p>
            <w:pPr>
              <w:pStyle w:val="Compact"/>
              <w:jc w:val="right"/>
            </w:pPr>
            <w:r>
              <w:t xml:space="preserve">40.96957</w:t>
            </w:r>
          </w:p>
        </w:tc>
        <w:tc>
          <w:p>
            <w:pPr>
              <w:pStyle w:val="Compact"/>
              <w:jc w:val="right"/>
            </w:pPr>
            <w:r>
              <w:t xml:space="preserve">3.782</w:t>
            </w:r>
          </w:p>
        </w:tc>
        <w:tc>
          <w:p>
            <w:pPr>
              <w:pStyle w:val="Compact"/>
              <w:jc w:val="right"/>
            </w:pPr>
            <w:r>
              <w:t xml:space="preserve">19.070</w:t>
            </w:r>
          </w:p>
        </w:tc>
      </w:tr>
      <w:tr>
        <w:tc>
          <w:p>
            <w:pPr>
              <w:pStyle w:val="Compact"/>
              <w:jc w:val="left"/>
            </w:pPr>
            <w:r>
              <w:t xml:space="preserve">ChrisCrk</w:t>
            </w:r>
          </w:p>
        </w:tc>
        <w:tc>
          <w:p>
            <w:pPr>
              <w:pStyle w:val="Compact"/>
              <w:jc w:val="left"/>
            </w:pPr>
            <w:r>
              <w:t xml:space="preserve">Grab</w:t>
            </w:r>
          </w:p>
        </w:tc>
        <w:tc>
          <w:p>
            <w:pPr>
              <w:pStyle w:val="Compact"/>
              <w:jc w:val="right"/>
            </w:pPr>
            <w:r>
              <w:t xml:space="preserve">3.580933</w:t>
            </w:r>
          </w:p>
        </w:tc>
        <w:tc>
          <w:p>
            <w:pPr>
              <w:pStyle w:val="Compact"/>
              <w:jc w:val="right"/>
            </w:pPr>
            <w:r>
              <w:t xml:space="preserve">1.927184</w:t>
            </w:r>
          </w:p>
        </w:tc>
        <w:tc>
          <w:p>
            <w:pPr>
              <w:pStyle w:val="Compact"/>
              <w:jc w:val="right"/>
            </w:pPr>
            <w:r>
              <w:t xml:space="preserve">53.81793</w:t>
            </w:r>
          </w:p>
        </w:tc>
        <w:tc>
          <w:p>
            <w:pPr>
              <w:pStyle w:val="Compact"/>
              <w:jc w:val="right"/>
            </w:pPr>
            <w:r>
              <w:t xml:space="preserve">1.845</w:t>
            </w:r>
          </w:p>
        </w:tc>
        <w:tc>
          <w:p>
            <w:pPr>
              <w:pStyle w:val="Compact"/>
              <w:jc w:val="right"/>
            </w:pPr>
            <w:r>
              <w:t xml:space="preserve">9.037</w:t>
            </w:r>
          </w:p>
        </w:tc>
      </w:tr>
      <w:tr>
        <w:tc>
          <w:p>
            <w:pPr>
              <w:pStyle w:val="Compact"/>
              <w:jc w:val="left"/>
            </w:pPr>
            <w:r>
              <w:t xml:space="preserve">ChrisCrk</w:t>
            </w:r>
          </w:p>
        </w:tc>
        <w:tc>
          <w:p>
            <w:pPr>
              <w:pStyle w:val="Compact"/>
              <w:jc w:val="left"/>
            </w:pPr>
            <w:r>
              <w:t xml:space="preserve">Rack</w:t>
            </w:r>
          </w:p>
        </w:tc>
        <w:tc>
          <w:p>
            <w:pPr>
              <w:pStyle w:val="Compact"/>
              <w:jc w:val="right"/>
            </w:pPr>
            <w:r>
              <w:t xml:space="preserve">5.294111</w:t>
            </w:r>
          </w:p>
        </w:tc>
        <w:tc>
          <w:p>
            <w:pPr>
              <w:pStyle w:val="Compact"/>
              <w:jc w:val="right"/>
            </w:pPr>
            <w:r>
              <w:t xml:space="preserve">1.761982</w:t>
            </w:r>
          </w:p>
        </w:tc>
        <w:tc>
          <w:p>
            <w:pPr>
              <w:pStyle w:val="Compact"/>
              <w:jc w:val="right"/>
            </w:pPr>
            <w:r>
              <w:t xml:space="preserve">33.28193</w:t>
            </w:r>
          </w:p>
        </w:tc>
        <w:tc>
          <w:p>
            <w:pPr>
              <w:pStyle w:val="Compact"/>
              <w:jc w:val="right"/>
            </w:pPr>
            <w:r>
              <w:t xml:space="preserve">1.937</w:t>
            </w:r>
          </w:p>
        </w:tc>
        <w:tc>
          <w:p>
            <w:pPr>
              <w:pStyle w:val="Compact"/>
              <w:jc w:val="right"/>
            </w:pPr>
            <w:r>
              <w:t xml:space="preserve">9.157</w:t>
            </w:r>
          </w:p>
        </w:tc>
      </w:tr>
      <w:tr>
        <w:tc>
          <w:p>
            <w:pPr>
              <w:pStyle w:val="Compact"/>
              <w:jc w:val="left"/>
            </w:pPr>
            <w:r>
              <w:t xml:space="preserve">LeechHead</w:t>
            </w:r>
          </w:p>
        </w:tc>
        <w:tc>
          <w:p>
            <w:pPr>
              <w:pStyle w:val="Compact"/>
              <w:jc w:val="left"/>
            </w:pPr>
            <w:r>
              <w:t xml:space="preserve">Grab</w:t>
            </w:r>
          </w:p>
        </w:tc>
        <w:tc>
          <w:p>
            <w:pPr>
              <w:pStyle w:val="Compact"/>
              <w:jc w:val="right"/>
            </w:pPr>
            <w:r>
              <w:t xml:space="preserve">7.134615</w:t>
            </w:r>
          </w:p>
        </w:tc>
        <w:tc>
          <w:p>
            <w:pPr>
              <w:pStyle w:val="Compact"/>
              <w:jc w:val="right"/>
            </w:pPr>
            <w:r>
              <w:t xml:space="preserve">1.909000</w:t>
            </w:r>
          </w:p>
        </w:tc>
        <w:tc>
          <w:p>
            <w:pPr>
              <w:pStyle w:val="Compact"/>
              <w:jc w:val="right"/>
            </w:pPr>
            <w:r>
              <w:t xml:space="preserve">26.75687</w:t>
            </w:r>
          </w:p>
        </w:tc>
        <w:tc>
          <w:p>
            <w:pPr>
              <w:pStyle w:val="Compact"/>
              <w:jc w:val="right"/>
            </w:pPr>
            <w:r>
              <w:t xml:space="preserve">4.872</w:t>
            </w:r>
          </w:p>
        </w:tc>
        <w:tc>
          <w:p>
            <w:pPr>
              <w:pStyle w:val="Compact"/>
              <w:jc w:val="right"/>
            </w:pPr>
            <w:r>
              <w:t xml:space="preserve">11.640</w:t>
            </w:r>
          </w:p>
        </w:tc>
      </w:tr>
      <w:tr>
        <w:tc>
          <w:p>
            <w:pPr>
              <w:pStyle w:val="Compact"/>
              <w:jc w:val="left"/>
            </w:pPr>
            <w:r>
              <w:t xml:space="preserve">LeechHead</w:t>
            </w:r>
          </w:p>
        </w:tc>
        <w:tc>
          <w:p>
            <w:pPr>
              <w:pStyle w:val="Compact"/>
              <w:jc w:val="left"/>
            </w:pPr>
            <w:r>
              <w:t xml:space="preserve">Rack</w:t>
            </w:r>
          </w:p>
        </w:tc>
        <w:tc>
          <w:p>
            <w:pPr>
              <w:pStyle w:val="Compact"/>
              <w:jc w:val="right"/>
            </w:pPr>
            <w:r>
              <w:t xml:space="preserve">7.276933</w:t>
            </w:r>
          </w:p>
        </w:tc>
        <w:tc>
          <w:p>
            <w:pPr>
              <w:pStyle w:val="Compact"/>
              <w:jc w:val="right"/>
            </w:pPr>
            <w:r>
              <w:t xml:space="preserve">1.725987</w:t>
            </w:r>
          </w:p>
        </w:tc>
        <w:tc>
          <w:p>
            <w:pPr>
              <w:pStyle w:val="Compact"/>
              <w:jc w:val="right"/>
            </w:pPr>
            <w:r>
              <w:t xml:space="preserve">23.71861</w:t>
            </w:r>
          </w:p>
        </w:tc>
        <w:tc>
          <w:p>
            <w:pPr>
              <w:pStyle w:val="Compact"/>
              <w:jc w:val="right"/>
            </w:pPr>
            <w:r>
              <w:t xml:space="preserve">3.950</w:t>
            </w:r>
          </w:p>
        </w:tc>
        <w:tc>
          <w:p>
            <w:pPr>
              <w:pStyle w:val="Compact"/>
              <w:jc w:val="right"/>
            </w:pPr>
            <w:r>
              <w:t xml:space="preserve">10.570</w:t>
            </w:r>
          </w:p>
        </w:tc>
      </w:tr>
      <w:tr>
        <w:tc>
          <w:p>
            <w:pPr>
              <w:pStyle w:val="Compact"/>
              <w:jc w:val="left"/>
            </w:pPr>
            <w:r>
              <w:t xml:space="preserve">CraggCrk</w:t>
            </w:r>
          </w:p>
        </w:tc>
        <w:tc>
          <w:p>
            <w:pPr>
              <w:pStyle w:val="Compact"/>
              <w:jc w:val="left"/>
            </w:pPr>
            <w:r>
              <w:t xml:space="preserve">Grab</w:t>
            </w:r>
          </w:p>
        </w:tc>
        <w:tc>
          <w:p>
            <w:pPr>
              <w:pStyle w:val="Compact"/>
              <w:jc w:val="right"/>
            </w:pPr>
            <w:r>
              <w:t xml:space="preserve">4.099577</w:t>
            </w:r>
          </w:p>
        </w:tc>
        <w:tc>
          <w:p>
            <w:pPr>
              <w:pStyle w:val="Compact"/>
              <w:jc w:val="right"/>
            </w:pPr>
            <w:r>
              <w:t xml:space="preserve">1.272989</w:t>
            </w:r>
          </w:p>
        </w:tc>
        <w:tc>
          <w:p>
            <w:pPr>
              <w:pStyle w:val="Compact"/>
              <w:jc w:val="right"/>
            </w:pPr>
            <w:r>
              <w:t xml:space="preserve">31.05171</w:t>
            </w:r>
          </w:p>
        </w:tc>
        <w:tc>
          <w:p>
            <w:pPr>
              <w:pStyle w:val="Compact"/>
              <w:jc w:val="right"/>
            </w:pPr>
            <w:r>
              <w:t xml:space="preserve">2.581</w:t>
            </w:r>
          </w:p>
        </w:tc>
        <w:tc>
          <w:p>
            <w:pPr>
              <w:pStyle w:val="Compact"/>
              <w:jc w:val="right"/>
            </w:pPr>
            <w:r>
              <w:t xml:space="preserve">7.473</w:t>
            </w:r>
          </w:p>
        </w:tc>
      </w:tr>
      <w:tr>
        <w:tc>
          <w:p>
            <w:pPr>
              <w:pStyle w:val="Compact"/>
              <w:jc w:val="left"/>
            </w:pPr>
            <w:r>
              <w:t xml:space="preserve">CraggCrk</w:t>
            </w:r>
          </w:p>
        </w:tc>
        <w:tc>
          <w:p>
            <w:pPr>
              <w:pStyle w:val="Compact"/>
              <w:jc w:val="left"/>
            </w:pPr>
            <w:r>
              <w:t xml:space="preserve">Rack</w:t>
            </w:r>
          </w:p>
        </w:tc>
        <w:tc>
          <w:p>
            <w:pPr>
              <w:pStyle w:val="Compact"/>
              <w:jc w:val="right"/>
            </w:pPr>
            <w:r>
              <w:t xml:space="preserve">5.226057</w:t>
            </w:r>
          </w:p>
        </w:tc>
        <w:tc>
          <w:p>
            <w:pPr>
              <w:pStyle w:val="Compact"/>
              <w:jc w:val="right"/>
            </w:pPr>
            <w:r>
              <w:t xml:space="preserve">1.510949</w:t>
            </w:r>
          </w:p>
        </w:tc>
        <w:tc>
          <w:p>
            <w:pPr>
              <w:pStyle w:val="Compact"/>
              <w:jc w:val="right"/>
            </w:pPr>
            <w:r>
              <w:t xml:space="preserve">28.91183</w:t>
            </w:r>
          </w:p>
        </w:tc>
        <w:tc>
          <w:p>
            <w:pPr>
              <w:pStyle w:val="Compact"/>
              <w:jc w:val="right"/>
            </w:pPr>
            <w:r>
              <w:t xml:space="preserve">3.004</w:t>
            </w:r>
          </w:p>
        </w:tc>
        <w:tc>
          <w:p>
            <w:pPr>
              <w:pStyle w:val="Compact"/>
              <w:jc w:val="right"/>
            </w:pPr>
            <w:r>
              <w:t xml:space="preserve">8.219</w:t>
            </w:r>
          </w:p>
        </w:tc>
      </w:tr>
      <w:tr>
        <w:tc>
          <w:p>
            <w:pPr>
              <w:pStyle w:val="Compact"/>
              <w:jc w:val="left"/>
            </w:pPr>
            <w:r>
              <w:t xml:space="preserve">WestLeech</w:t>
            </w:r>
          </w:p>
        </w:tc>
        <w:tc>
          <w:p>
            <w:pPr>
              <w:pStyle w:val="Compact"/>
              <w:jc w:val="left"/>
            </w:pPr>
            <w:r>
              <w:t xml:space="preserve">Grab</w:t>
            </w:r>
          </w:p>
        </w:tc>
        <w:tc>
          <w:p>
            <w:pPr>
              <w:pStyle w:val="Compact"/>
              <w:jc w:val="right"/>
            </w:pPr>
            <w:r>
              <w:t xml:space="preserve">4.134412</w:t>
            </w:r>
          </w:p>
        </w:tc>
        <w:tc>
          <w:p>
            <w:pPr>
              <w:pStyle w:val="Compact"/>
              <w:jc w:val="right"/>
            </w:pPr>
            <w:r>
              <w:t xml:space="preserve">1.819666</w:t>
            </w:r>
          </w:p>
        </w:tc>
        <w:tc>
          <w:p>
            <w:pPr>
              <w:pStyle w:val="Compact"/>
              <w:jc w:val="right"/>
            </w:pPr>
            <w:r>
              <w:t xml:space="preserve">44.01270</w:t>
            </w:r>
          </w:p>
        </w:tc>
        <w:tc>
          <w:p>
            <w:pPr>
              <w:pStyle w:val="Compact"/>
              <w:jc w:val="right"/>
            </w:pPr>
            <w:r>
              <w:t xml:space="preserve">2.333</w:t>
            </w:r>
          </w:p>
        </w:tc>
        <w:tc>
          <w:p>
            <w:pPr>
              <w:pStyle w:val="Compact"/>
              <w:jc w:val="right"/>
            </w:pPr>
            <w:r>
              <w:t xml:space="preserve">9.078</w:t>
            </w:r>
          </w:p>
        </w:tc>
      </w:tr>
      <w:tr>
        <w:tc>
          <w:p>
            <w:pPr>
              <w:pStyle w:val="Compact"/>
              <w:jc w:val="left"/>
            </w:pPr>
            <w:r>
              <w:t xml:space="preserve">WestLeech</w:t>
            </w:r>
          </w:p>
        </w:tc>
        <w:tc>
          <w:p>
            <w:pPr>
              <w:pStyle w:val="Compact"/>
              <w:jc w:val="left"/>
            </w:pPr>
            <w:r>
              <w:t xml:space="preserve">Rack</w:t>
            </w:r>
          </w:p>
        </w:tc>
        <w:tc>
          <w:p>
            <w:pPr>
              <w:pStyle w:val="Compact"/>
              <w:jc w:val="right"/>
            </w:pPr>
            <w:r>
              <w:t xml:space="preserve">6.304256</w:t>
            </w:r>
          </w:p>
        </w:tc>
        <w:tc>
          <w:p>
            <w:pPr>
              <w:pStyle w:val="Compact"/>
              <w:jc w:val="right"/>
            </w:pPr>
            <w:r>
              <w:t xml:space="preserve">2.249926</w:t>
            </w:r>
          </w:p>
        </w:tc>
        <w:tc>
          <w:p>
            <w:pPr>
              <w:pStyle w:val="Compact"/>
              <w:jc w:val="right"/>
            </w:pPr>
            <w:r>
              <w:t xml:space="preserve">35.68901</w:t>
            </w:r>
          </w:p>
        </w:tc>
        <w:tc>
          <w:p>
            <w:pPr>
              <w:pStyle w:val="Compact"/>
              <w:jc w:val="right"/>
            </w:pPr>
            <w:r>
              <w:t xml:space="preserve">2.663</w:t>
            </w:r>
          </w:p>
        </w:tc>
        <w:tc>
          <w:p>
            <w:pPr>
              <w:pStyle w:val="Compact"/>
              <w:jc w:val="right"/>
            </w:pPr>
            <w:r>
              <w:t xml:space="preserve">10.950</w:t>
            </w:r>
          </w:p>
        </w:tc>
      </w:tr>
      <w:tr>
        <w:tc>
          <w:p>
            <w:pPr>
              <w:pStyle w:val="Compact"/>
              <w:jc w:val="left"/>
            </w:pPr>
            <w:r>
              <w:t xml:space="preserve">Tunnel</w:t>
            </w:r>
          </w:p>
        </w:tc>
        <w:tc>
          <w:p>
            <w:pPr>
              <w:pStyle w:val="Compact"/>
              <w:jc w:val="left"/>
            </w:pPr>
            <w:r>
              <w:t xml:space="preserve">Grab</w:t>
            </w:r>
          </w:p>
        </w:tc>
        <w:tc>
          <w:p>
            <w:pPr>
              <w:pStyle w:val="Compact"/>
              <w:jc w:val="right"/>
            </w:pPr>
            <w:r>
              <w:t xml:space="preserve">4.280500</w:t>
            </w:r>
          </w:p>
        </w:tc>
        <w:tc>
          <w:p>
            <w:pPr>
              <w:pStyle w:val="Compact"/>
              <w:jc w:val="right"/>
            </w:pPr>
            <w:r>
              <w:t xml:space="preserve">1.460180</w:t>
            </w:r>
          </w:p>
        </w:tc>
        <w:tc>
          <w:p>
            <w:pPr>
              <w:pStyle w:val="Compact"/>
              <w:jc w:val="right"/>
            </w:pPr>
            <w:r>
              <w:t xml:space="preserve">34.11237</w:t>
            </w:r>
          </w:p>
        </w:tc>
        <w:tc>
          <w:p>
            <w:pPr>
              <w:pStyle w:val="Compact"/>
              <w:jc w:val="right"/>
            </w:pPr>
            <w:r>
              <w:t xml:space="preserve">2.187</w:t>
            </w:r>
          </w:p>
        </w:tc>
        <w:tc>
          <w:p>
            <w:pPr>
              <w:pStyle w:val="Compact"/>
              <w:jc w:val="right"/>
            </w:pPr>
            <w:r>
              <w:t xml:space="preserve">8.854</w:t>
            </w:r>
          </w:p>
        </w:tc>
      </w:tr>
      <w:tr>
        <w:tc>
          <w:p>
            <w:pPr>
              <w:pStyle w:val="Compact"/>
              <w:jc w:val="left"/>
            </w:pPr>
            <w:r>
              <w:t xml:space="preserve">Tunnel</w:t>
            </w:r>
          </w:p>
        </w:tc>
        <w:tc>
          <w:p>
            <w:pPr>
              <w:pStyle w:val="Compact"/>
              <w:jc w:val="left"/>
            </w:pPr>
            <w:r>
              <w:t xml:space="preserve">Rack</w:t>
            </w:r>
          </w:p>
        </w:tc>
        <w:tc>
          <w:p>
            <w:pPr>
              <w:pStyle w:val="Compact"/>
              <w:jc w:val="right"/>
            </w:pPr>
            <w:r>
              <w:t xml:space="preserve">5.398500</w:t>
            </w:r>
          </w:p>
        </w:tc>
        <w:tc>
          <w:p>
            <w:pPr>
              <w:pStyle w:val="Compact"/>
              <w:jc w:val="right"/>
            </w:pPr>
            <w:r>
              <w:t xml:space="preserve">1.550619</w:t>
            </w:r>
          </w:p>
        </w:tc>
        <w:tc>
          <w:p>
            <w:pPr>
              <w:pStyle w:val="Compact"/>
              <w:jc w:val="right"/>
            </w:pPr>
            <w:r>
              <w:t xml:space="preserve">28.72315</w:t>
            </w:r>
          </w:p>
        </w:tc>
        <w:tc>
          <w:p>
            <w:pPr>
              <w:pStyle w:val="Compact"/>
              <w:jc w:val="right"/>
            </w:pPr>
            <w:r>
              <w:t xml:space="preserve">2.693</w:t>
            </w:r>
          </w:p>
        </w:tc>
        <w:tc>
          <w:p>
            <w:pPr>
              <w:pStyle w:val="Compact"/>
              <w:jc w:val="right"/>
            </w:pPr>
            <w:r>
              <w:t xml:space="preserve">9.024</w:t>
            </w:r>
          </w:p>
        </w:tc>
      </w:tr>
    </w:tbl>
    <w:p>
      <w:pPr>
        <w:pStyle w:val="Heading3"/>
      </w:pPr>
      <w:bookmarkStart w:id="59" w:name="X01c97e7c0051c30bc01f4516b13f2118c3f5dec"/>
      <w:r>
        <w:t xml:space="preserve">Rising limb – hydrologic versus supply controls on export</w:t>
      </w:r>
      <w:bookmarkEnd w:id="59"/>
    </w:p>
    <w:p>
      <w:pPr>
        <w:pStyle w:val="FirstParagraph"/>
      </w:pPr>
      <w:r>
        <w:t xml:space="preserve">Figure</w:t>
      </w:r>
      <w:r>
        <w:t xml:space="preserve"> </w:t>
      </w:r>
      <w:r>
        <w:t xml:space="preserve">20</w:t>
      </w:r>
      <w:r>
        <w:t xml:space="preserve"> </w:t>
      </w:r>
      <w:r>
        <w:t xml:space="preserve">shows rising limb sample DOC concentrations across rain events at the LWSA sub-basins. While there was a typically some increase in DOC with increasing river stage, seasonality appeared to have a greater influence on DOC concentrations than river rise (highest DOC early in the wet season).</w:t>
      </w:r>
    </w:p>
    <w:p>
      <w:pPr>
        <w:pStyle w:val="CaptionedFigure"/>
      </w:pPr>
      <w:r>
        <w:drawing>
          <wp:inline>
            <wp:extent cx="5504749" cy="7339665"/>
            <wp:effectExtent b="0" l="0" r="0" t="0"/>
            <wp:docPr descr="Figure 20:  DOC concentration trends in rising limb samples categorized by rain events" title="" id="1" name="Picture"/>
            <a:graphic>
              <a:graphicData uri="http://schemas.openxmlformats.org/drawingml/2006/picture">
                <pic:pic>
                  <pic:nvPicPr>
                    <pic:cNvPr descr="R-outputs_UBC-forWater-MSc_HMc/figures/DOC_rack-trends.png" id="0" name="Picture"/>
                    <pic:cNvPicPr>
                      <a:picLocks noChangeArrowheads="1" noChangeAspect="1"/>
                    </pic:cNvPicPr>
                  </pic:nvPicPr>
                  <pic:blipFill>
                    <a:blip r:embed="rId60"/>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20:</w:t>
      </w:r>
      <w:r>
        <w:t xml:space="preserve"> </w:t>
      </w:r>
      <w:r>
        <w:t xml:space="preserve"> </w:t>
      </w:r>
      <w:r>
        <w:rPr>
          <w:i/>
        </w:rPr>
        <w:t xml:space="preserve">DOC concentration trends in rising limb samples categorized by rain events</w:t>
      </w:r>
    </w:p>
    <w:p>
      <w:pPr>
        <w:pStyle w:val="Heading2"/>
      </w:pPr>
      <w:bookmarkStart w:id="61" w:name="quality-control"/>
      <w:r>
        <w:t xml:space="preserve">Quality Control</w:t>
      </w:r>
      <w:bookmarkEnd w:id="61"/>
    </w:p>
    <w:p>
      <w:pPr>
        <w:pStyle w:val="Heading3"/>
      </w:pPr>
      <w:bookmarkStart w:id="62" w:name="hold-time-experiments---vertical-racks"/>
      <w:r>
        <w:t xml:space="preserve">Hold-Time experiments - Vertical Racks</w:t>
      </w:r>
      <w:bookmarkEnd w:id="62"/>
    </w:p>
    <w:p>
      <w:pPr>
        <w:pStyle w:val="FirstParagraph"/>
      </w:pPr>
      <w:r>
        <w:t xml:space="preserve">Hold-time experiments were conducted to assess sample stability on the vertical racks. Figure</w:t>
      </w:r>
      <w:r>
        <w:t xml:space="preserve"> </w:t>
      </w:r>
      <w:r>
        <w:t xml:space="preserve">21</w:t>
      </w:r>
      <w:r>
        <w:t xml:space="preserve">.</w:t>
      </w:r>
    </w:p>
    <w:p>
      <w:pPr>
        <w:pStyle w:val="CaptionedFigure"/>
      </w:pPr>
      <w:r>
        <w:drawing>
          <wp:inline>
            <wp:extent cx="5715000" cy="5715000"/>
            <wp:effectExtent b="0" l="0" r="0" t="0"/>
            <wp:docPr descr="Figure 21:  Plot of air temperature during vertical rack hold-time experiments. Red horizontal lines indicate the 0-7°C range of a typical laboratory refrigerator and dashed vertical lines separate the three sets of hold-time samples." title="" id="1" name="Picture"/>
            <a:graphic>
              <a:graphicData uri="http://schemas.openxmlformats.org/drawingml/2006/picture">
                <pic:pic>
                  <pic:nvPicPr>
                    <pic:cNvPr descr="R-outputs_UBC-forWater-MSc_HMc/figures/HoldTime_air-Temp.png" id="0" name="Picture"/>
                    <pic:cNvPicPr>
                      <a:picLocks noChangeArrowheads="1" noChangeAspect="1"/>
                    </pic:cNvPicPr>
                  </pic:nvPicPr>
                  <pic:blipFill>
                    <a:blip r:embed="rId63"/>
                    <a:stretch>
                      <a:fillRect/>
                    </a:stretch>
                  </pic:blipFill>
                  <pic:spPr bwMode="auto">
                    <a:xfrm>
                      <a:off x="0" y="0"/>
                      <a:ext cx="5715000" cy="5715000"/>
                    </a:xfrm>
                    <a:prstGeom prst="rect">
                      <a:avLst/>
                    </a:prstGeom>
                    <a:noFill/>
                    <a:ln w="9525">
                      <a:noFill/>
                      <a:headEnd/>
                      <a:tailEnd/>
                    </a:ln>
                  </pic:spPr>
                </pic:pic>
              </a:graphicData>
            </a:graphic>
          </wp:inline>
        </w:drawing>
      </w:r>
    </w:p>
    <w:p>
      <w:pPr>
        <w:pStyle w:val="ImageCaption"/>
      </w:pPr>
      <w:r>
        <w:t xml:space="preserve">Figure 21:</w:t>
      </w:r>
      <w:r>
        <w:t xml:space="preserve"> </w:t>
      </w:r>
      <w:r>
        <w:t xml:space="preserve"> </w:t>
      </w:r>
      <w:r>
        <w:rPr>
          <w:i/>
        </w:rPr>
        <w:t xml:space="preserve">Plot of air temperature during vertical rack hold-time experiments. Red horizontal lines indicate the 0-7°C range of a typical laboratory refrigerator and dashed vertical lines separate the three sets of hold-time samples.</w:t>
      </w:r>
    </w:p>
    <w:p>
      <w:pPr>
        <w:pStyle w:val="BodyText"/>
      </w:pPr>
      <w:r>
        <w:br/>
      </w:r>
    </w:p>
    <w:p>
      <w:pPr>
        <w:pStyle w:val="BodyText"/>
      </w:pPr>
      <w:r>
        <w:t xml:space="preserve">Results of t-tests are summarized in Table</w:t>
      </w:r>
      <w:r>
        <w:t xml:space="preserve"> </w:t>
      </w:r>
      <w:r>
        <w:t xml:space="preserve">13</w:t>
      </w:r>
      <w:r>
        <w:t xml:space="preserve">. There was a significant change in DOC concentration during hold-time set A, in which DOC-rich</w:t>
      </w:r>
      <w:r>
        <w:t xml:space="preserve"> </w:t>
      </w:r>
      <w:r>
        <w:t xml:space="preserve">“</w:t>
      </w:r>
      <w:r>
        <w:t xml:space="preserve">first flush</w:t>
      </w:r>
      <w:r>
        <w:t xml:space="preserve">”</w:t>
      </w:r>
      <w:r>
        <w:t xml:space="preserve"> </w:t>
      </w:r>
      <w:r>
        <w:t xml:space="preserve">samples were held for 11 days at average temperature of 7.3°C. Sets B and C did not show significant changes in DOC concentrations. Changes to UV absorbance at 254nm were observed for set C, which was held for 34 days at an average of 4.4°C with a period of sub-zero temperatures. These results suggest that freezing did not alter DOC concentrations but did effect DOM character (reduction in aromaticity).</w:t>
      </w:r>
    </w:p>
    <w:p>
      <w:pPr>
        <w:pStyle w:val="Compact"/>
        <w:numPr>
          <w:numId w:val="1003"/>
          <w:ilvl w:val="0"/>
        </w:numPr>
      </w:pPr>
      <w:r>
        <w:t xml:space="preserve">TO DO: calculate average temperatures &amp; hold-times for rack samples during each event collection.</w:t>
      </w:r>
    </w:p>
    <w:p>
      <w:pPr>
        <w:pStyle w:val="FirstParagraph"/>
      </w:pPr>
      <w:r>
        <w:br/>
      </w:r>
    </w:p>
    <w:p>
      <w:pPr>
        <w:pStyle w:val="TableCaption"/>
      </w:pPr>
      <w:r>
        <w:t xml:space="preserve">Table 13:</w:t>
      </w:r>
      <w:r>
        <w:t xml:space="preserve"> </w:t>
      </w:r>
      <w:r>
        <w:rPr>
          <w:i/>
        </w:rPr>
        <w:t xml:space="preserve">Results of t-tests comparing hold-time samples</w:t>
      </w:r>
    </w:p>
    <w:tbl>
      <w:tblPr>
        <w:tblStyle w:val="Table"/>
        <w:tblW w:type="pct" w:w="0.0"/>
        <w:tblLook w:firstRow="1"/>
        <w:tblCaption w:val="Table 13: Results of t-tests comparing hold-time samples"/>
      </w:tblPr>
      <w:tblGrid/>
      <w:tr>
        <w:trPr>
          <w:cnfStyle w:firstRow="1"/>
        </w:trPr>
        <w:tc>
          <w:tcPr>
            <w:tcBorders>
              <w:bottom w:val="single"/>
            </w:tcBorders>
            <w:vAlign w:val="bottom"/>
          </w:tcPr>
          <w:p>
            <w:pPr>
              <w:pStyle w:val="Compact"/>
              <w:jc w:val="left"/>
            </w:pPr>
            <w:r>
              <w:t xml:space="preserve">Hold-time Set</w:t>
            </w:r>
          </w:p>
        </w:tc>
        <w:tc>
          <w:tcPr>
            <w:tcBorders>
              <w:bottom w:val="single"/>
            </w:tcBorders>
            <w:vAlign w:val="bottom"/>
          </w:tcPr>
          <w:p>
            <w:pPr>
              <w:pStyle w:val="Compact"/>
              <w:jc w:val="left"/>
            </w:pPr>
            <w:r>
              <w:t xml:space="preserve">Sample season</w:t>
            </w:r>
          </w:p>
        </w:tc>
        <w:tc>
          <w:tcPr>
            <w:tcBorders>
              <w:bottom w:val="single"/>
            </w:tcBorders>
            <w:vAlign w:val="bottom"/>
          </w:tcPr>
          <w:p>
            <w:pPr>
              <w:pStyle w:val="Compact"/>
              <w:jc w:val="right"/>
            </w:pPr>
            <w:r>
              <w:t xml:space="preserve">Days held</w:t>
            </w:r>
          </w:p>
        </w:tc>
        <w:tc>
          <w:tcPr>
            <w:tcBorders>
              <w:bottom w:val="single"/>
            </w:tcBorders>
            <w:vAlign w:val="bottom"/>
          </w:tcPr>
          <w:p>
            <w:pPr>
              <w:pStyle w:val="Compact"/>
              <w:jc w:val="left"/>
            </w:pPr>
            <w:r>
              <w:t xml:space="preserve">Mean temp.</w:t>
            </w:r>
          </w:p>
        </w:tc>
        <w:tc>
          <w:tcPr>
            <w:tcBorders>
              <w:bottom w:val="single"/>
            </w:tcBorders>
            <w:vAlign w:val="bottom"/>
          </w:tcPr>
          <w:p>
            <w:pPr>
              <w:pStyle w:val="Compact"/>
              <w:jc w:val="left"/>
            </w:pPr>
            <w:r>
              <w:t xml:space="preserve">DOC (mg/L): fresh // held</w:t>
            </w:r>
          </w:p>
        </w:tc>
        <w:tc>
          <w:tcPr>
            <w:tcBorders>
              <w:bottom w:val="single"/>
            </w:tcBorders>
            <w:vAlign w:val="bottom"/>
          </w:tcPr>
          <w:p>
            <w:pPr>
              <w:pStyle w:val="Compact"/>
              <w:jc w:val="right"/>
            </w:pPr>
            <w:r>
              <w:t xml:space="preserve">p-value (DOC)</w:t>
            </w:r>
          </w:p>
        </w:tc>
        <w:tc>
          <w:tcPr>
            <w:tcBorders>
              <w:bottom w:val="single"/>
            </w:tcBorders>
            <w:vAlign w:val="bottom"/>
          </w:tcPr>
          <w:p>
            <w:pPr>
              <w:pStyle w:val="Compact"/>
              <w:jc w:val="left"/>
            </w:pPr>
            <w:r>
              <w:t xml:space="preserve">DOC change</w:t>
            </w:r>
          </w:p>
        </w:tc>
        <w:tc>
          <w:tcPr>
            <w:tcBorders>
              <w:bottom w:val="single"/>
            </w:tcBorders>
            <w:vAlign w:val="bottom"/>
          </w:tcPr>
          <w:p>
            <w:pPr>
              <w:pStyle w:val="Compact"/>
              <w:jc w:val="left"/>
            </w:pPr>
            <w:r>
              <w:t xml:space="preserve">UV254 (mg/L): fresh // held</w:t>
            </w:r>
          </w:p>
        </w:tc>
        <w:tc>
          <w:tcPr>
            <w:tcBorders>
              <w:bottom w:val="single"/>
            </w:tcBorders>
            <w:vAlign w:val="bottom"/>
          </w:tcPr>
          <w:p>
            <w:pPr>
              <w:pStyle w:val="Compact"/>
              <w:jc w:val="right"/>
            </w:pPr>
            <w:r>
              <w:t xml:space="preserve">p-value (UV254)</w:t>
            </w:r>
          </w:p>
        </w:tc>
        <w:tc>
          <w:tcPr>
            <w:tcBorders>
              <w:bottom w:val="single"/>
            </w:tcBorders>
            <w:vAlign w:val="bottom"/>
          </w:tcPr>
          <w:p>
            <w:pPr>
              <w:pStyle w:val="Compact"/>
              <w:jc w:val="left"/>
            </w:pPr>
            <w:r>
              <w:t xml:space="preserve">UV254 change</w:t>
            </w:r>
          </w:p>
        </w:tc>
      </w:tr>
      <w:tr>
        <w:tc>
          <w:p>
            <w:pPr>
              <w:pStyle w:val="Compact"/>
              <w:jc w:val="left"/>
            </w:pPr>
            <w:r>
              <w:t xml:space="preserve">A</w:t>
            </w:r>
          </w:p>
        </w:tc>
        <w:tc>
          <w:p>
            <w:pPr>
              <w:pStyle w:val="Compact"/>
              <w:jc w:val="left"/>
            </w:pPr>
            <w:r>
              <w:t xml:space="preserve">first flush</w:t>
            </w:r>
          </w:p>
        </w:tc>
        <w:tc>
          <w:p>
            <w:pPr>
              <w:pStyle w:val="Compact"/>
              <w:jc w:val="right"/>
            </w:pPr>
            <w:r>
              <w:t xml:space="preserve">11</w:t>
            </w:r>
          </w:p>
        </w:tc>
        <w:tc>
          <w:p>
            <w:pPr>
              <w:pStyle w:val="Compact"/>
              <w:jc w:val="left"/>
            </w:pPr>
            <w:r>
              <w:t xml:space="preserve">7.3°C ± 2.1°C</w:t>
            </w:r>
          </w:p>
        </w:tc>
        <w:tc>
          <w:p>
            <w:pPr>
              <w:pStyle w:val="Compact"/>
              <w:jc w:val="left"/>
            </w:pPr>
            <w:r>
              <w:t xml:space="preserve">7.54 ± 0.04 // 4.17 ± 0.13</w:t>
            </w:r>
          </w:p>
        </w:tc>
        <w:tc>
          <w:p>
            <w:pPr>
              <w:pStyle w:val="Compact"/>
              <w:jc w:val="right"/>
            </w:pPr>
            <w:r>
              <w:t xml:space="preserve">0.0000010</w:t>
            </w:r>
          </w:p>
        </w:tc>
        <w:tc>
          <w:p>
            <w:pPr>
              <w:pStyle w:val="Compact"/>
              <w:jc w:val="left"/>
            </w:pPr>
            <w:r>
              <w:t xml:space="preserve">sig.</w:t>
            </w:r>
          </w:p>
        </w:tc>
        <w:tc>
          <w:p>
            <w:pPr>
              <w:pStyle w:val="Compact"/>
              <w:jc w:val="left"/>
            </w:pPr>
            <w:r>
              <w:t xml:space="preserve">14.59 ± 0.01 // 14.52 ± 0.08</w:t>
            </w:r>
          </w:p>
        </w:tc>
        <w:tc>
          <w:p>
            <w:pPr>
              <w:pStyle w:val="Compact"/>
              <w:jc w:val="right"/>
            </w:pPr>
            <w:r>
              <w:t xml:space="preserve">0.1118622</w:t>
            </w:r>
          </w:p>
        </w:tc>
        <w:tc>
          <w:p>
            <w:pPr>
              <w:pStyle w:val="Compact"/>
              <w:jc w:val="left"/>
            </w:pPr>
            <w:r>
              <w:t xml:space="preserve">NA</w:t>
            </w:r>
          </w:p>
        </w:tc>
      </w:tr>
      <w:tr>
        <w:tc>
          <w:p>
            <w:pPr>
              <w:pStyle w:val="Compact"/>
              <w:jc w:val="left"/>
            </w:pPr>
            <w:r>
              <w:t xml:space="preserve">B</w:t>
            </w:r>
          </w:p>
        </w:tc>
        <w:tc>
          <w:p>
            <w:pPr>
              <w:pStyle w:val="Compact"/>
              <w:jc w:val="left"/>
            </w:pPr>
            <w:r>
              <w:t xml:space="preserve">wet</w:t>
            </w:r>
          </w:p>
        </w:tc>
        <w:tc>
          <w:p>
            <w:pPr>
              <w:pStyle w:val="Compact"/>
              <w:jc w:val="right"/>
            </w:pPr>
            <w:r>
              <w:t xml:space="preserve">20</w:t>
            </w:r>
          </w:p>
        </w:tc>
        <w:tc>
          <w:p>
            <w:pPr>
              <w:pStyle w:val="Compact"/>
              <w:jc w:val="left"/>
            </w:pPr>
            <w:r>
              <w:t xml:space="preserve">6.1°C ± 2.7°C</w:t>
            </w:r>
          </w:p>
        </w:tc>
        <w:tc>
          <w:p>
            <w:pPr>
              <w:pStyle w:val="Compact"/>
              <w:jc w:val="left"/>
            </w:pPr>
            <w:r>
              <w:t xml:space="preserve">5.37 ± 0.1 // 5.49 ± 0.04</w:t>
            </w:r>
          </w:p>
        </w:tc>
        <w:tc>
          <w:p>
            <w:pPr>
              <w:pStyle w:val="Compact"/>
              <w:jc w:val="right"/>
            </w:pPr>
            <w:r>
              <w:t xml:space="preserve">0.1342784</w:t>
            </w:r>
          </w:p>
        </w:tc>
        <w:tc>
          <w:p>
            <w:pPr>
              <w:pStyle w:val="Compact"/>
              <w:jc w:val="left"/>
            </w:pPr>
            <w:r>
              <w:t xml:space="preserve">NA</w:t>
            </w:r>
          </w:p>
        </w:tc>
        <w:tc>
          <w:p>
            <w:pPr>
              <w:pStyle w:val="Compact"/>
              <w:jc w:val="left"/>
            </w:pPr>
            <w:r>
              <w:t xml:space="preserve">19.14 ± 0.07 // 17.62 ± 3.08</w:t>
            </w:r>
          </w:p>
        </w:tc>
        <w:tc>
          <w:p>
            <w:pPr>
              <w:pStyle w:val="Compact"/>
              <w:jc w:val="right"/>
            </w:pPr>
            <w:r>
              <w:t xml:space="preserve">0.3254723</w:t>
            </w:r>
          </w:p>
        </w:tc>
        <w:tc>
          <w:p>
            <w:pPr>
              <w:pStyle w:val="Compact"/>
              <w:jc w:val="left"/>
            </w:pPr>
            <w:r>
              <w:t xml:space="preserve">NA</w:t>
            </w:r>
          </w:p>
        </w:tc>
      </w:tr>
      <w:tr>
        <w:tc>
          <w:p>
            <w:pPr>
              <w:pStyle w:val="Compact"/>
              <w:jc w:val="left"/>
            </w:pPr>
            <w:r>
              <w:t xml:space="preserve">C</w:t>
            </w:r>
          </w:p>
        </w:tc>
        <w:tc>
          <w:p>
            <w:pPr>
              <w:pStyle w:val="Compact"/>
              <w:jc w:val="left"/>
            </w:pPr>
            <w:r>
              <w:t xml:space="preserve">wet</w:t>
            </w:r>
          </w:p>
        </w:tc>
        <w:tc>
          <w:p>
            <w:pPr>
              <w:pStyle w:val="Compact"/>
              <w:jc w:val="right"/>
            </w:pPr>
            <w:r>
              <w:t xml:space="preserve">34</w:t>
            </w:r>
          </w:p>
        </w:tc>
        <w:tc>
          <w:p>
            <w:pPr>
              <w:pStyle w:val="Compact"/>
              <w:jc w:val="left"/>
            </w:pPr>
            <w:r>
              <w:t xml:space="preserve">4.4°C ± 3.2°C</w:t>
            </w:r>
          </w:p>
        </w:tc>
        <w:tc>
          <w:p>
            <w:pPr>
              <w:pStyle w:val="Compact"/>
              <w:jc w:val="left"/>
            </w:pPr>
            <w:r>
              <w:t xml:space="preserve">3.31 ± 0.16 // 2.56 ± 1.11</w:t>
            </w:r>
          </w:p>
        </w:tc>
        <w:tc>
          <w:p>
            <w:pPr>
              <w:pStyle w:val="Compact"/>
              <w:jc w:val="right"/>
            </w:pPr>
            <w:r>
              <w:t xml:space="preserve">0.1727405</w:t>
            </w:r>
          </w:p>
        </w:tc>
        <w:tc>
          <w:p>
            <w:pPr>
              <w:pStyle w:val="Compact"/>
              <w:jc w:val="left"/>
            </w:pPr>
            <w:r>
              <w:t xml:space="preserve">NA</w:t>
            </w:r>
          </w:p>
        </w:tc>
        <w:tc>
          <w:p>
            <w:pPr>
              <w:pStyle w:val="Compact"/>
              <w:jc w:val="left"/>
            </w:pPr>
            <w:r>
              <w:t xml:space="preserve">13.52 ± 2.99 // 8.91 ± 2.15</w:t>
            </w:r>
          </w:p>
        </w:tc>
        <w:tc>
          <w:p>
            <w:pPr>
              <w:pStyle w:val="Compact"/>
              <w:jc w:val="right"/>
            </w:pPr>
            <w:r>
              <w:t xml:space="preserve">0.0147941</w:t>
            </w:r>
          </w:p>
        </w:tc>
        <w:tc>
          <w:p>
            <w:pPr>
              <w:pStyle w:val="Compact"/>
              <w:jc w:val="left"/>
            </w:pPr>
            <w:r>
              <w:t xml:space="preserve">sig.</w:t>
            </w:r>
          </w:p>
        </w:tc>
      </w:tr>
    </w:tbl>
    <w:p>
      <w:pPr>
        <w:pStyle w:val="Heading3"/>
      </w:pPr>
      <w:bookmarkStart w:id="64" w:name="laboratory"/>
      <w:r>
        <w:t xml:space="preserve">Laboratory</w:t>
      </w:r>
      <w:bookmarkEnd w:id="64"/>
    </w:p>
    <w:p>
      <w:pPr>
        <w:pStyle w:val="FirstParagraph"/>
      </w:pPr>
      <w:r>
        <w:t xml:space="preserve">UBC-based laboratory analysis of samples resulted in an overall accuracy of 3.7% based on analysis of 20 calibration verification standards.</w:t>
      </w:r>
    </w:p>
    <w:p>
      <w:pPr>
        <w:pStyle w:val="Heading2"/>
      </w:pPr>
      <w:bookmarkStart w:id="65" w:name="random-forests"/>
      <w:r>
        <w:t xml:space="preserve">Random Forests</w:t>
      </w:r>
      <w:bookmarkEnd w:id="65"/>
    </w:p>
    <w:bookmarkStart w:id="74" w:name="refs"/>
    <w:bookmarkStart w:id="67" w:name="ref-BC2019"/>
    <w:p>
      <w:pPr>
        <w:pStyle w:val="Bibliography"/>
      </w:pPr>
      <w:r>
        <w:t xml:space="preserve">British Columbia Ministry of Environment. 2017. “Source Drinking Water Quality Guidelines: Guideline Summary.” Victoria, B.C.: Prov. B.C.</w:t>
      </w:r>
      <w:r>
        <w:t xml:space="preserve"> </w:t>
      </w:r>
      <w:hyperlink r:id="rId66">
        <w:r>
          <w:rPr>
            <w:rStyle w:val="Hyperlink"/>
          </w:rPr>
          <w:t xml:space="preserve">https://www2.gov.bc.ca/gov/content/governments/organizational-structure/ministries-organizations/ministries/environment-climate-change</w:t>
        </w:r>
      </w:hyperlink>
      <w:r>
        <w:t xml:space="preserve">.</w:t>
      </w:r>
    </w:p>
    <w:bookmarkEnd w:id="67"/>
    <w:bookmarkStart w:id="69" w:name="ref-Raymond2010"/>
    <w:p>
      <w:pPr>
        <w:pStyle w:val="Bibliography"/>
      </w:pPr>
      <w:r>
        <w:t xml:space="preserve">Raymond, Peter A, James E Saiers, Source Biogeochemistry, No September, Peter A Raymond, and James E Saiers. 2010. “Event controlled DOC export from forested watersheds.”</w:t>
      </w:r>
      <w:r>
        <w:t xml:space="preserve"> </w:t>
      </w:r>
      <w:r>
        <w:rPr>
          <w:i/>
        </w:rPr>
        <w:t xml:space="preserve">Biogeochemistry</w:t>
      </w:r>
      <w:r>
        <w:t xml:space="preserve"> </w:t>
      </w:r>
      <w:r>
        <w:t xml:space="preserve">100 (1): 197–209.</w:t>
      </w:r>
      <w:r>
        <w:t xml:space="preserve"> </w:t>
      </w:r>
      <w:hyperlink r:id="rId68">
        <w:r>
          <w:rPr>
            <w:rStyle w:val="Hyperlink"/>
          </w:rPr>
          <w:t xml:space="preserve">https://doi.org/10.1007/sl0533-010-9416-7</w:t>
        </w:r>
      </w:hyperlink>
      <w:r>
        <w:t xml:space="preserve">.</w:t>
      </w:r>
    </w:p>
    <w:bookmarkEnd w:id="69"/>
    <w:bookmarkStart w:id="71" w:name="ref-Raymond2016"/>
    <w:p>
      <w:pPr>
        <w:pStyle w:val="Bibliography"/>
      </w:pPr>
      <w:r>
        <w:t xml:space="preserve">Raymond, Peter A, James E Saiers, William V Sobczak, and E James. 2016. “Hydrological and biogeochemical controls on watershed dissolved organic matter transport: pulse-shunt concept.”</w:t>
      </w:r>
      <w:r>
        <w:t xml:space="preserve"> </w:t>
      </w:r>
      <w:r>
        <w:rPr>
          <w:i/>
        </w:rPr>
        <w:t xml:space="preserve">Ecology</w:t>
      </w:r>
      <w:r>
        <w:t xml:space="preserve"> </w:t>
      </w:r>
      <w:r>
        <w:t xml:space="preserve">97 (1): 5–16.</w:t>
      </w:r>
      <w:r>
        <w:t xml:space="preserve"> </w:t>
      </w:r>
      <w:hyperlink r:id="rId70">
        <w:r>
          <w:rPr>
            <w:rStyle w:val="Hyperlink"/>
          </w:rPr>
          <w:t xml:space="preserve">https://www.jstor.org/stable/24702986</w:t>
        </w:r>
      </w:hyperlink>
      <w:r>
        <w:t xml:space="preserve">.</w:t>
      </w:r>
    </w:p>
    <w:bookmarkEnd w:id="71"/>
    <w:bookmarkStart w:id="73" w:name="ref-Yang2015"/>
    <w:p>
      <w:pPr>
        <w:pStyle w:val="Bibliography"/>
      </w:pPr>
      <w:r>
        <w:t xml:space="preserve">Yang, Liyang, Jin Hur, Sonmin Lee, Soon Woong Chang, and Hyun Sang Shin. 2015. “Dynamics of dissolved organic matter during four storm events in two forest streams: source, export, and implications for harmful disinfection byproduct formation.”</w:t>
      </w:r>
      <w:r>
        <w:t xml:space="preserve"> </w:t>
      </w:r>
      <w:r>
        <w:rPr>
          <w:i/>
        </w:rPr>
        <w:t xml:space="preserve">Environmental Science and Pollution Research</w:t>
      </w:r>
      <w:r>
        <w:t xml:space="preserve"> </w:t>
      </w:r>
      <w:r>
        <w:t xml:space="preserve">22 (12): 9173–83.</w:t>
      </w:r>
      <w:r>
        <w:t xml:space="preserve"> </w:t>
      </w:r>
      <w:hyperlink r:id="rId72">
        <w:r>
          <w:rPr>
            <w:rStyle w:val="Hyperlink"/>
          </w:rPr>
          <w:t xml:space="preserve">https://doi.org/10.1007/s11356-015-4078-6</w:t>
        </w:r>
      </w:hyperlink>
      <w:r>
        <w:t xml:space="preserve">.</w:t>
      </w:r>
    </w:p>
    <w:bookmarkEnd w:id="73"/>
    <w:bookmarkEnd w:id="74"/>
    <w:sectPr w:rsidR="00A319E1" w:rsidRPr="00D3712C" w:rsidSect="0080436E">
      <w:footerReference w:type="default" r:id="rId9"/>
      <w:pgSz w:w="12240" w:h="15840"/>
      <w:pgMar w:top="1418" w:right="1418" w:bottom="1418" w:left="1814" w:header="709" w:footer="709" w:gutter="0"/>
      <w:cols w:space="708"/>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Ebrima">
    <w:panose1 w:val="02000000000000000000"/>
    <w:charset w:val="00"/>
    <w:family w:val="auto"/>
    <w:pitch w:val="variable"/>
    <w:sig w:usb0="A000005F" w:usb1="02000041" w:usb2="00000800" w:usb3="00000000" w:csb0="00000093" w:csb1="00000000"/>
  </w:font>
  <w:font w:name="Segoe UI Semibold">
    <w:panose1 w:val="020B07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440469"/>
      <w:docPartObj>
        <w:docPartGallery w:val="Page Numbers (Bottom of Page)"/>
        <w:docPartUnique/>
      </w:docPartObj>
    </w:sdtPr>
    <w:sdtEndPr>
      <w:rPr>
        <w:noProof/>
      </w:rPr>
    </w:sdtEndPr>
    <w:sdtContent>
      <w:p w14:paraId="3DD9B13B" w14:textId="77777777" w:rsidR="00CC27DB" w:rsidRDefault="00D6264D" w:rsidP="00AC158D">
        <w:pPr>
          <w:pStyle w:val="Footer"/>
        </w:pPr>
        <w:r>
          <w:fldChar w:fldCharType="begin"/>
        </w:r>
        <w:r>
          <w:instrText xml:space="preserve"> PAGE   \* MERGEFORMAT </w:instrText>
        </w:r>
        <w:r>
          <w:fldChar w:fldCharType="separate"/>
        </w:r>
        <w:r>
          <w:rPr>
            <w:noProof/>
          </w:rPr>
          <w:t>2</w:t>
        </w:r>
        <w:r>
          <w:rPr>
            <w:noProof/>
          </w:rPr>
          <w:fldChar w:fldCharType="end"/>
        </w:r>
      </w:p>
    </w:sdtContent>
  </w:sdt>
  <w:p w14:paraId="6371077D" w14:textId="77777777" w:rsidR="00CC27DB" w:rsidRDefault="004F225A" w:rsidP="00AC158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0B7250D"/>
    <w:multiLevelType w:val="multilevel"/>
    <w:tmpl w:val="4E5C97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HAnsi"/>
        <w:sz w:val="24"/>
        <w:szCs w:val="24"/>
        <w:lang w:val="en-CA" w:eastAsia="en-US" w:bidi="ar-SA"/>
      </w:rPr>
    </w:rPrDefault>
    <w:pPrDefault>
      <w:pPr>
        <w:spacing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C158D"/>
    <w:rPr>
      <w:rFonts w:ascii="Ebrima" w:hAnsi="Ebrima"/>
    </w:rPr>
  </w:style>
  <w:style w:type="paragraph" w:styleId="Heading1">
    <w:name w:val="heading 1"/>
    <w:basedOn w:val="Normal"/>
    <w:next w:val="Normal"/>
    <w:link w:val="Heading1Char"/>
    <w:uiPriority w:val="9"/>
    <w:qFormat/>
    <w:rsid w:val="00810D36"/>
    <w:pPr>
      <w:keepNext/>
      <w:keepLines/>
      <w:pageBreakBefore/>
      <w:pBdr>
        <w:bottom w:val="single" w:sz="4" w:space="1" w:color="595959" w:themeColor="text1" w:themeTint="A6"/>
      </w:pBdr>
      <w:spacing w:after="240"/>
      <w:outlineLvl w:val="0"/>
    </w:pPr>
    <w:rPr>
      <w:rFonts w:ascii="Segoe UI Semibold" w:eastAsiaTheme="majorEastAsia" w:hAnsi="Segoe UI Semibold" w:cs="Segoe UI Semibold"/>
      <w:sz w:val="28"/>
      <w:szCs w:val="32"/>
    </w:rPr>
  </w:style>
  <w:style w:type="paragraph" w:styleId="Heading2">
    <w:name w:val="heading 2"/>
    <w:basedOn w:val="Normal"/>
    <w:next w:val="Normal"/>
    <w:link w:val="Heading2Char"/>
    <w:uiPriority w:val="9"/>
    <w:unhideWhenUsed/>
    <w:qFormat/>
    <w:rsid w:val="00810D36"/>
    <w:pPr>
      <w:keepNext/>
      <w:keepLines/>
      <w:spacing w:before="240" w:after="240"/>
      <w:outlineLvl w:val="1"/>
    </w:pPr>
    <w:rPr>
      <w:rFonts w:ascii="Segoe UI Semibold" w:eastAsiaTheme="majorEastAsia" w:hAnsi="Segoe UI Semibold" w:cs="Segoe UI Semibold"/>
      <w:sz w:val="26"/>
      <w:szCs w:val="26"/>
    </w:rPr>
  </w:style>
  <w:style w:type="paragraph" w:styleId="Heading3">
    <w:name w:val="heading 3"/>
    <w:basedOn w:val="Normal"/>
    <w:next w:val="Normal"/>
    <w:link w:val="Heading3Char"/>
    <w:uiPriority w:val="9"/>
    <w:unhideWhenUsed/>
    <w:qFormat/>
    <w:rsid w:val="00810D36"/>
    <w:pPr>
      <w:keepNext/>
      <w:keepLines/>
      <w:spacing w:before="240" w:after="240"/>
      <w:outlineLvl w:val="2"/>
    </w:pPr>
    <w:rPr>
      <w:rFonts w:ascii="Segoe UI" w:eastAsiaTheme="majorEastAsia" w:hAnsi="Segoe UI" w:cs="Segoe UI"/>
      <w:b/>
      <w:szCs w:val="28"/>
    </w:rPr>
  </w:style>
  <w:style w:type="paragraph" w:styleId="Heading4">
    <w:name w:val="heading 4"/>
    <w:basedOn w:val="Normal"/>
    <w:next w:val="Normal"/>
    <w:link w:val="Heading4Char"/>
    <w:uiPriority w:val="9"/>
    <w:unhideWhenUsed/>
    <w:qFormat/>
    <w:rsid w:val="00810D36"/>
    <w:pPr>
      <w:keepNext/>
      <w:keepLines/>
      <w:spacing w:before="240" w:after="240"/>
      <w:outlineLvl w:val="3"/>
    </w:pPr>
    <w:rPr>
      <w:rFonts w:ascii="Segoe UI" w:eastAsiaTheme="majorEastAsia" w:hAnsi="Segoe UI" w:cs="Segoe UI"/>
      <w:b/>
      <w:i/>
      <w:iCs/>
      <w:szCs w:val="28"/>
    </w:rPr>
  </w:style>
  <w:style w:type="paragraph" w:styleId="Heading5">
    <w:name w:val="heading 5"/>
    <w:basedOn w:val="Heading4"/>
    <w:next w:val="Normal"/>
    <w:link w:val="Heading5Char"/>
    <w:uiPriority w:val="9"/>
    <w:unhideWhenUsed/>
    <w:qFormat/>
    <w:rsid w:val="007E4872"/>
    <w:pPr>
      <w:outlineLvl w:val="4"/>
    </w:pPr>
    <w:rPr>
      <w:rFonts w:ascii="Segoe UI Semibold" w:hAnsi="Segoe UI Semibold" w:cs="Segoe UI Semibold"/>
      <w:b w:val="0"/>
      <w:i w:val="0"/>
      <w:szCs w:val="24"/>
      <w:u w:val="single"/>
    </w:rPr>
  </w:style>
  <w:style w:type="paragraph" w:styleId="Heading6">
    <w:name w:val="heading 6"/>
    <w:basedOn w:val="Normal"/>
    <w:next w:val="Normal"/>
    <w:link w:val="Heading6Char"/>
    <w:uiPriority w:val="9"/>
    <w:unhideWhenUsed/>
    <w:qFormat/>
    <w:rsid w:val="00810D36"/>
    <w:pPr>
      <w:spacing w:before="240" w:after="240"/>
      <w:outlineLvl w:val="5"/>
    </w:pPr>
    <w:rPr>
      <w:rFonts w:ascii="Segoe UI Semibold" w:hAnsi="Segoe UI Semibold" w:cs="Segoe UI Semibol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7596"/>
    <w:pPr>
      <w:spacing w:after="480" w:line="240" w:lineRule="auto"/>
      <w:contextualSpacing/>
    </w:pPr>
    <w:rPr>
      <w:rFonts w:eastAsiaTheme="majorEastAsia" w:cstheme="majorBidi"/>
      <w:spacing w:val="-10"/>
      <w:kern w:val="28"/>
      <w:sz w:val="40"/>
      <w:szCs w:val="56"/>
    </w:rPr>
  </w:style>
  <w:style w:type="character" w:customStyle="1" w:styleId="TitleChar">
    <w:name w:val="Title Char"/>
    <w:basedOn w:val="DefaultParagraphFont"/>
    <w:link w:val="Title"/>
    <w:uiPriority w:val="10"/>
    <w:rsid w:val="00597596"/>
    <w:rPr>
      <w:rFonts w:ascii="Ebrima" w:eastAsiaTheme="majorEastAsia" w:hAnsi="Ebrima" w:cstheme="majorBidi"/>
      <w:spacing w:val="-10"/>
      <w:kern w:val="28"/>
      <w:sz w:val="40"/>
      <w:szCs w:val="56"/>
    </w:rPr>
  </w:style>
  <w:style w:type="paragraph" w:styleId="Subtitle">
    <w:name w:val="Subtitle"/>
    <w:basedOn w:val="Normal"/>
    <w:next w:val="Normal"/>
    <w:link w:val="SubtitleChar"/>
    <w:uiPriority w:val="11"/>
    <w:qFormat/>
    <w:rsid w:val="00CC27DB"/>
    <w:pPr>
      <w:numPr>
        <w:ilvl w:val="1"/>
      </w:numPr>
      <w:spacing w:after="960"/>
    </w:pPr>
    <w:rPr>
      <w:rFonts w:eastAsiaTheme="minorEastAsia" w:cstheme="minorBidi"/>
      <w:color w:val="5A5A5A" w:themeColor="text1" w:themeTint="A5"/>
      <w:spacing w:val="15"/>
      <w:sz w:val="28"/>
      <w:szCs w:val="22"/>
    </w:rPr>
  </w:style>
  <w:style w:type="character" w:customStyle="1" w:styleId="SubtitleChar">
    <w:name w:val="Subtitle Char"/>
    <w:basedOn w:val="DefaultParagraphFont"/>
    <w:link w:val="Subtitle"/>
    <w:uiPriority w:val="11"/>
    <w:rsid w:val="00CC27DB"/>
    <w:rPr>
      <w:rFonts w:ascii="Ebrima" w:eastAsiaTheme="minorEastAsia" w:hAnsi="Ebrima" w:cstheme="minorBidi"/>
      <w:color w:val="5A5A5A" w:themeColor="text1" w:themeTint="A5"/>
      <w:spacing w:val="15"/>
      <w:sz w:val="28"/>
      <w:szCs w:val="22"/>
    </w:rPr>
  </w:style>
  <w:style w:type="paragraph" w:styleId="Quote">
    <w:name w:val="Quote"/>
    <w:basedOn w:val="IntenseQuote"/>
    <w:next w:val="Normal"/>
    <w:link w:val="QuoteChar"/>
    <w:uiPriority w:val="29"/>
    <w:qFormat/>
    <w:rsid w:val="0068354C"/>
  </w:style>
  <w:style w:type="character" w:customStyle="1" w:styleId="QuoteChar">
    <w:name w:val="Quote Char"/>
    <w:basedOn w:val="DefaultParagraphFont"/>
    <w:link w:val="Quote"/>
    <w:uiPriority w:val="29"/>
    <w:rsid w:val="0068354C"/>
    <w:rPr>
      <w:rFonts w:ascii="Ebrima" w:hAnsi="Ebrima"/>
      <w:i/>
      <w:iCs/>
      <w:color w:val="0D0D0D" w:themeColor="text1" w:themeTint="F2"/>
    </w:rPr>
  </w:style>
  <w:style w:type="character" w:customStyle="1" w:styleId="Heading1Char">
    <w:name w:val="Heading 1 Char"/>
    <w:basedOn w:val="DefaultParagraphFont"/>
    <w:link w:val="Heading1"/>
    <w:uiPriority w:val="9"/>
    <w:rsid w:val="00810D36"/>
    <w:rPr>
      <w:rFonts w:ascii="Segoe UI Semibold" w:eastAsiaTheme="majorEastAsia" w:hAnsi="Segoe UI Semibold" w:cs="Segoe UI Semibold"/>
      <w:sz w:val="28"/>
      <w:szCs w:val="32"/>
    </w:rPr>
  </w:style>
  <w:style w:type="character" w:customStyle="1" w:styleId="Heading2Char">
    <w:name w:val="Heading 2 Char"/>
    <w:basedOn w:val="DefaultParagraphFont"/>
    <w:link w:val="Heading2"/>
    <w:uiPriority w:val="9"/>
    <w:rsid w:val="00810D36"/>
    <w:rPr>
      <w:rFonts w:ascii="Segoe UI Semibold" w:eastAsiaTheme="majorEastAsia" w:hAnsi="Segoe UI Semibold" w:cs="Segoe UI Semibold"/>
      <w:sz w:val="26"/>
      <w:szCs w:val="26"/>
    </w:rPr>
  </w:style>
  <w:style w:type="character" w:customStyle="1" w:styleId="Heading3Char">
    <w:name w:val="Heading 3 Char"/>
    <w:basedOn w:val="DefaultParagraphFont"/>
    <w:link w:val="Heading3"/>
    <w:uiPriority w:val="9"/>
    <w:rsid w:val="00810D36"/>
    <w:rPr>
      <w:rFonts w:ascii="Segoe UI" w:eastAsiaTheme="majorEastAsia" w:hAnsi="Segoe UI" w:cs="Segoe UI"/>
      <w:b/>
      <w:szCs w:val="28"/>
    </w:rPr>
  </w:style>
  <w:style w:type="character" w:customStyle="1" w:styleId="Heading4Char">
    <w:name w:val="Heading 4 Char"/>
    <w:basedOn w:val="DefaultParagraphFont"/>
    <w:link w:val="Heading4"/>
    <w:uiPriority w:val="9"/>
    <w:rsid w:val="00810D36"/>
    <w:rPr>
      <w:rFonts w:ascii="Segoe UI" w:eastAsiaTheme="majorEastAsia" w:hAnsi="Segoe UI" w:cs="Segoe UI"/>
      <w:b/>
      <w:i/>
      <w:iCs/>
      <w:szCs w:val="28"/>
    </w:rPr>
  </w:style>
  <w:style w:type="paragraph" w:styleId="IntenseQuote">
    <w:name w:val="Intense Quote"/>
    <w:basedOn w:val="Normal"/>
    <w:next w:val="Normal"/>
    <w:link w:val="IntenseQuoteChar"/>
    <w:uiPriority w:val="30"/>
    <w:qFormat/>
    <w:rsid w:val="00273815"/>
    <w:pPr>
      <w:pBdr>
        <w:top w:val="single" w:sz="4" w:space="10" w:color="595959" w:themeColor="text1" w:themeTint="A6"/>
        <w:bottom w:val="single" w:sz="4" w:space="10" w:color="595959" w:themeColor="text1" w:themeTint="A6"/>
      </w:pBdr>
      <w:spacing w:before="360" w:after="360"/>
      <w:ind w:left="864" w:right="864"/>
      <w:jc w:val="center"/>
    </w:pPr>
    <w:rPr>
      <w:i/>
      <w:iCs/>
      <w:color w:val="0D0D0D" w:themeColor="text1" w:themeTint="F2"/>
    </w:rPr>
  </w:style>
  <w:style w:type="character" w:customStyle="1" w:styleId="IntenseQuoteChar">
    <w:name w:val="Intense Quote Char"/>
    <w:basedOn w:val="DefaultParagraphFont"/>
    <w:link w:val="IntenseQuote"/>
    <w:uiPriority w:val="30"/>
    <w:rsid w:val="00273815"/>
    <w:rPr>
      <w:rFonts w:ascii="Ebrima" w:hAnsi="Ebrima"/>
      <w:i/>
      <w:iCs/>
      <w:color w:val="0D0D0D" w:themeColor="text1" w:themeTint="F2"/>
    </w:rPr>
  </w:style>
  <w:style w:type="character" w:customStyle="1" w:styleId="Heading5Char">
    <w:name w:val="Heading 5 Char"/>
    <w:basedOn w:val="DefaultParagraphFont"/>
    <w:link w:val="Heading5"/>
    <w:uiPriority w:val="9"/>
    <w:rsid w:val="007E4872"/>
    <w:rPr>
      <w:rFonts w:ascii="Segoe UI Semibold" w:eastAsiaTheme="majorEastAsia" w:hAnsi="Segoe UI Semibold" w:cs="Segoe UI Semibold"/>
      <w:iCs/>
      <w:u w:val="single"/>
    </w:rPr>
  </w:style>
  <w:style w:type="paragraph" w:styleId="Header">
    <w:name w:val="header"/>
    <w:basedOn w:val="Normal"/>
    <w:link w:val="HeaderChar"/>
    <w:uiPriority w:val="99"/>
    <w:unhideWhenUsed/>
    <w:rsid w:val="003F4372"/>
    <w:pPr>
      <w:tabs>
        <w:tab w:val="center" w:pos="4680"/>
        <w:tab w:val="right" w:pos="9360"/>
      </w:tabs>
      <w:spacing w:line="240" w:lineRule="auto"/>
    </w:pPr>
  </w:style>
  <w:style w:type="character" w:customStyle="1" w:styleId="HeaderChar">
    <w:name w:val="Header Char"/>
    <w:basedOn w:val="DefaultParagraphFont"/>
    <w:link w:val="Header"/>
    <w:uiPriority w:val="99"/>
    <w:rsid w:val="003F4372"/>
    <w:rPr>
      <w:rFonts w:ascii="Ebrima" w:hAnsi="Ebrima"/>
    </w:rPr>
  </w:style>
  <w:style w:type="paragraph" w:styleId="Footer">
    <w:name w:val="footer"/>
    <w:basedOn w:val="Normal"/>
    <w:link w:val="FooterChar"/>
    <w:uiPriority w:val="99"/>
    <w:unhideWhenUsed/>
    <w:rsid w:val="003F4372"/>
    <w:pPr>
      <w:tabs>
        <w:tab w:val="center" w:pos="4680"/>
        <w:tab w:val="right" w:pos="9360"/>
      </w:tabs>
      <w:spacing w:line="240" w:lineRule="auto"/>
    </w:pPr>
  </w:style>
  <w:style w:type="character" w:customStyle="1" w:styleId="FooterChar">
    <w:name w:val="Footer Char"/>
    <w:basedOn w:val="DefaultParagraphFont"/>
    <w:link w:val="Footer"/>
    <w:uiPriority w:val="99"/>
    <w:rsid w:val="003F4372"/>
    <w:rPr>
      <w:rFonts w:ascii="Ebrima" w:hAnsi="Ebrima"/>
    </w:rPr>
  </w:style>
  <w:style w:type="character" w:customStyle="1" w:styleId="Heading6Char">
    <w:name w:val="Heading 6 Char"/>
    <w:basedOn w:val="DefaultParagraphFont"/>
    <w:link w:val="Heading6"/>
    <w:uiPriority w:val="9"/>
    <w:rsid w:val="00810D36"/>
    <w:rPr>
      <w:rFonts w:ascii="Segoe UI Semibold" w:hAnsi="Segoe UI Semibold" w:cs="Segoe UI Semibold"/>
    </w:rPr>
  </w:style>
  <w:style w:type="paragraph" w:styleId="TOC1">
    <w:name w:val="toc 1"/>
    <w:basedOn w:val="Normal"/>
    <w:next w:val="Normal"/>
    <w:autoRedefine/>
    <w:uiPriority w:val="39"/>
    <w:unhideWhenUsed/>
    <w:rsid w:val="0054343A"/>
    <w:pPr>
      <w:tabs>
        <w:tab w:val="right" w:leader="dot" w:pos="9350"/>
      </w:tabs>
    </w:pPr>
    <w:rPr>
      <w:rFonts w:ascii="Segoe UI" w:hAnsi="Segoe UI" w:cs="Segoe UI"/>
      <w:b/>
      <w:bCs/>
      <w:caps/>
      <w:noProof/>
    </w:rPr>
  </w:style>
  <w:style w:type="paragraph" w:styleId="TOC2">
    <w:name w:val="toc 2"/>
    <w:basedOn w:val="Normal"/>
    <w:next w:val="Normal"/>
    <w:autoRedefine/>
    <w:uiPriority w:val="39"/>
    <w:unhideWhenUsed/>
    <w:rsid w:val="00CC27DB"/>
    <w:pPr>
      <w:tabs>
        <w:tab w:val="right" w:leader="dot" w:pos="9350"/>
      </w:tabs>
    </w:pPr>
    <w:rPr>
      <w:rFonts w:ascii="Segoe UI" w:hAnsi="Segoe UI" w:cs="Segoe UI"/>
      <w:b/>
      <w:bCs/>
      <w:noProof/>
      <w:sz w:val="20"/>
      <w:szCs w:val="20"/>
    </w:rPr>
  </w:style>
  <w:style w:type="paragraph" w:styleId="TOC3">
    <w:name w:val="toc 3"/>
    <w:basedOn w:val="Normal"/>
    <w:next w:val="Normal"/>
    <w:autoRedefine/>
    <w:uiPriority w:val="39"/>
    <w:unhideWhenUsed/>
    <w:rsid w:val="00CC27DB"/>
    <w:pPr>
      <w:tabs>
        <w:tab w:val="right" w:leader="dot" w:pos="9350"/>
      </w:tabs>
      <w:ind w:left="240"/>
    </w:pPr>
    <w:rPr>
      <w:rFonts w:ascii="Segoe UI" w:hAnsi="Segoe UI" w:cs="Segoe UI"/>
      <w:noProof/>
      <w:sz w:val="20"/>
      <w:szCs w:val="20"/>
    </w:rPr>
  </w:style>
  <w:style w:type="paragraph" w:styleId="TOC4">
    <w:name w:val="toc 4"/>
    <w:basedOn w:val="Normal"/>
    <w:next w:val="Normal"/>
    <w:autoRedefine/>
    <w:uiPriority w:val="39"/>
    <w:unhideWhenUsed/>
    <w:rsid w:val="00CE7188"/>
    <w:pPr>
      <w:ind w:left="480"/>
    </w:pPr>
    <w:rPr>
      <w:rFonts w:asciiTheme="minorHAnsi" w:hAnsiTheme="minorHAnsi"/>
      <w:sz w:val="20"/>
      <w:szCs w:val="20"/>
    </w:rPr>
  </w:style>
  <w:style w:type="paragraph" w:styleId="TOC5">
    <w:name w:val="toc 5"/>
    <w:basedOn w:val="Normal"/>
    <w:next w:val="Normal"/>
    <w:autoRedefine/>
    <w:uiPriority w:val="39"/>
    <w:unhideWhenUsed/>
    <w:rsid w:val="00CE7188"/>
    <w:pPr>
      <w:ind w:left="720"/>
    </w:pPr>
    <w:rPr>
      <w:rFonts w:asciiTheme="minorHAnsi" w:hAnsiTheme="minorHAnsi"/>
      <w:sz w:val="20"/>
      <w:szCs w:val="20"/>
    </w:rPr>
  </w:style>
  <w:style w:type="paragraph" w:styleId="TOC6">
    <w:name w:val="toc 6"/>
    <w:basedOn w:val="Normal"/>
    <w:next w:val="Normal"/>
    <w:autoRedefine/>
    <w:uiPriority w:val="39"/>
    <w:unhideWhenUsed/>
    <w:rsid w:val="00CE7188"/>
    <w:pPr>
      <w:ind w:left="960"/>
    </w:pPr>
    <w:rPr>
      <w:rFonts w:asciiTheme="minorHAnsi" w:hAnsiTheme="minorHAnsi"/>
      <w:sz w:val="20"/>
      <w:szCs w:val="20"/>
    </w:rPr>
  </w:style>
  <w:style w:type="paragraph" w:styleId="TOC7">
    <w:name w:val="toc 7"/>
    <w:basedOn w:val="Normal"/>
    <w:next w:val="Normal"/>
    <w:autoRedefine/>
    <w:uiPriority w:val="39"/>
    <w:unhideWhenUsed/>
    <w:rsid w:val="00CE7188"/>
    <w:pPr>
      <w:ind w:left="1200"/>
    </w:pPr>
    <w:rPr>
      <w:rFonts w:asciiTheme="minorHAnsi" w:hAnsiTheme="minorHAnsi"/>
      <w:sz w:val="20"/>
      <w:szCs w:val="20"/>
    </w:rPr>
  </w:style>
  <w:style w:type="paragraph" w:styleId="TOC8">
    <w:name w:val="toc 8"/>
    <w:basedOn w:val="Normal"/>
    <w:next w:val="Normal"/>
    <w:autoRedefine/>
    <w:uiPriority w:val="39"/>
    <w:unhideWhenUsed/>
    <w:rsid w:val="00CE7188"/>
    <w:pPr>
      <w:ind w:left="1440"/>
    </w:pPr>
    <w:rPr>
      <w:rFonts w:asciiTheme="minorHAnsi" w:hAnsiTheme="minorHAnsi"/>
      <w:sz w:val="20"/>
      <w:szCs w:val="20"/>
    </w:rPr>
  </w:style>
  <w:style w:type="paragraph" w:styleId="TOC9">
    <w:name w:val="toc 9"/>
    <w:basedOn w:val="Normal"/>
    <w:next w:val="Normal"/>
    <w:autoRedefine/>
    <w:uiPriority w:val="39"/>
    <w:unhideWhenUsed/>
    <w:rsid w:val="00CE7188"/>
    <w:pPr>
      <w:ind w:left="1680"/>
    </w:pPr>
    <w:rPr>
      <w:rFonts w:asciiTheme="minorHAnsi" w:hAnsiTheme="minorHAnsi"/>
      <w:sz w:val="20"/>
      <w:szCs w:val="20"/>
    </w:rPr>
  </w:style>
  <w:style w:type="character" w:styleId="Hyperlink">
    <w:name w:val="Hyperlink"/>
    <w:basedOn w:val="DefaultParagraphFont"/>
    <w:uiPriority w:val="99"/>
    <w:unhideWhenUsed/>
    <w:rsid w:val="00CE7188"/>
    <w:rPr>
      <w:color w:val="0563C1" w:themeColor="hyperlink"/>
      <w:u w:val="single"/>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BalloonText">
    <w:name w:val="Balloon Text"/>
    <w:basedOn w:val="Normal"/>
    <w:link w:val="BalloonTextChar"/>
    <w:uiPriority w:val="99"/>
    <w:semiHidden/>
    <w:unhideWhenUsed/>
    <w:rsid w:val="002D457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4575"/>
    <w:rPr>
      <w:rFonts w:ascii="Segoe UI" w:hAnsi="Segoe UI" w:cs="Segoe UI"/>
      <w:sz w:val="18"/>
      <w:szCs w:val="18"/>
    </w:rPr>
  </w:style>
  <w:style w:type="paragraph" w:styleId="Bibliography">
    <w:name w:val="Bibliography"/>
    <w:basedOn w:val="Normal"/>
    <w:next w:val="Normal"/>
    <w:uiPriority w:val="37"/>
    <w:unhideWhenUsed/>
    <w:rsid w:val="00D3712C"/>
    <w:pPr>
      <w:ind w:left="720" w:hanging="720"/>
    </w:pPr>
    <w:rPr>
      <w:noProof/>
    </w:rPr>
  </w:style>
  <w:style w:type="character" w:styleId="SubtleEmphasis">
    <w:name w:val="Subtle Emphasis"/>
    <w:basedOn w:val="DefaultParagraphFont"/>
    <w:uiPriority w:val="19"/>
    <w:qFormat/>
    <w:rsid w:val="00CC27DB"/>
    <w:rPr>
      <w:i/>
      <w:iCs/>
      <w:color w:val="404040" w:themeColor="text1" w:themeTint="BF"/>
    </w:rPr>
  </w:style>
  <w:style w:type="paragraph" w:styleId="ListParagraph">
    <w:name w:val="List Paragraph"/>
    <w:basedOn w:val="Normal"/>
    <w:uiPriority w:val="34"/>
    <w:qFormat/>
    <w:rsid w:val="000E25D6"/>
    <w:pPr>
      <w:ind w:left="720"/>
      <w:contextualSpacing/>
    </w:pPr>
  </w:style>
  <w:style w:type="paragraph" w:styleId="TOCHeading">
    <w:name w:val="TOC Heading"/>
    <w:basedOn w:val="Heading1"/>
    <w:next w:val="Normal"/>
    <w:uiPriority w:val="39"/>
    <w:unhideWhenUsed/>
    <w:qFormat/>
    <w:rsid w:val="00A9074C"/>
    <w:pPr>
      <w:pageBreakBefore w:val="0"/>
      <w:pBdr>
        <w:bottom w:val="single" w:sz="4" w:space="1" w:color="auto"/>
      </w:pBdr>
      <w:outlineLvl w:val="9"/>
    </w:pPr>
    <w:rPr>
      <w:rFonts w:asciiTheme="majorHAnsi" w:hAnsiTheme="majorHAnsi" w:cstheme="majorBidi"/>
      <w:b/>
      <w:bCs/>
      <w:color w:val="595959" w:themeColor="text1" w:themeTint="A6"/>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54" Target="media/rId54.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51" Target="media/rId51.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63" Target="media/rId63.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hyperlink" Id="rId72" Target="https://doi.org/10.1007/s11356-015-4078-6" TargetMode="External" /><Relationship Type="http://schemas.openxmlformats.org/officeDocument/2006/relationships/hyperlink" Id="rId68" Target="https://doi.org/10.1007/sl0533-010-9416-7" TargetMode="External" /><Relationship Type="http://schemas.openxmlformats.org/officeDocument/2006/relationships/hyperlink" Id="rId70" Target="https://www.jstor.org/stable/24702986" TargetMode="External" /><Relationship Type="http://schemas.openxmlformats.org/officeDocument/2006/relationships/hyperlink" Id="rId66" Target="https://www2.gov.bc.ca/gov/content/governments/organizational-structure/ministries-organizations/ministries/environment-climate-change" TargetMode="External" /></Relationships>
</file>

<file path=word/_rels/footnotes.xml.rels><?xml version="1.0" encoding="UTF-8"?>
<Relationships xmlns="http://schemas.openxmlformats.org/package/2006/relationships"><Relationship Type="http://schemas.openxmlformats.org/officeDocument/2006/relationships/hyperlink" Id="rId72" Target="https://doi.org/10.1007/s11356-015-4078-6" TargetMode="External" /><Relationship Type="http://schemas.openxmlformats.org/officeDocument/2006/relationships/hyperlink" Id="rId68" Target="https://doi.org/10.1007/sl0533-010-9416-7" TargetMode="External" /><Relationship Type="http://schemas.openxmlformats.org/officeDocument/2006/relationships/hyperlink" Id="rId70" Target="https://www.jstor.org/stable/24702986" TargetMode="External" /><Relationship Type="http://schemas.openxmlformats.org/officeDocument/2006/relationships/hyperlink" Id="rId66" Target="https://www2.gov.bc.ca/gov/content/governments/organizational-structure/ministries-organizations/ministries/environment-climate-chang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4</Pages>
  <Words>104</Words>
  <Characters>593</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profiling hydrochemical dynamics in a rain-dominated water supply area: characterizing the Leech watershed using passive sampling techniques</vt:lpstr>
    </vt:vector>
  </TitlesOfParts>
  <Company/>
  <LinksUpToDate>false</LinksUpToDate>
  <CharactersWithSpaces>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Quantifying synchrony and variability in source water quality across nested catchments of a protected second growth forested water supply area</dc:title>
  <dc:creator>Hannah J. McSorley</dc:creator>
  <cp:keywords/>
  <dcterms:created xsi:type="dcterms:W3CDTF">2020-05-19T07:07:00Z</dcterms:created>
  <dcterms:modified xsi:type="dcterms:W3CDTF">2020-05-19T07:07:00Z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April 2020</vt:lpwstr>
  </property>
  <property fmtid="{D5CDD505-2E9C-101B-9397-08002B2CF9AE}" pid="4" name="link-citations">
    <vt:lpwstr>yes</vt:lpwstr>
  </property>
  <property fmtid="{D5CDD505-2E9C-101B-9397-08002B2CF9AE}" pid="5" name="output">
    <vt:lpwstr/>
  </property>
  <property fmtid="{D5CDD505-2E9C-101B-9397-08002B2CF9AE}" pid="6" name="site">
    <vt:lpwstr>bookdown::bookdown_site</vt:lpwstr>
  </property>
  <property fmtid="{D5CDD505-2E9C-101B-9397-08002B2CF9AE}" pid="7" name="tables">
    <vt:lpwstr>True</vt:lpwstr>
  </property>
</Properties>
</file>