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BE8" w:rsidRPr="00811BE8" w:rsidRDefault="00CA333A" w:rsidP="00811BE8">
      <w:pPr>
        <w:pStyle w:val="Title"/>
      </w:pPr>
      <w:r>
        <w:t>Reproducible data analysis: thesis data analysis and visualization</w:t>
      </w:r>
      <w:bookmarkStart w:id="0" w:name="_GoBack"/>
      <w:bookmarkEnd w:id="0"/>
    </w:p>
    <w:p w:rsidR="000E7C87" w:rsidRDefault="00CA333A">
      <w:pPr>
        <w:pStyle w:val="Subtitle"/>
      </w:pPr>
      <w:r>
        <w:t>P</w:t>
      </w:r>
      <w:r>
        <w:t xml:space="preserve">acific Maritime forWater </w:t>
      </w:r>
      <w:proofErr w:type="gramStart"/>
      <w:r>
        <w:t>Masters</w:t>
      </w:r>
      <w:proofErr w:type="gramEnd"/>
      <w:r>
        <w:t xml:space="preserve"> Project (NSERC forWater)</w:t>
      </w:r>
    </w:p>
    <w:p w:rsidR="000E7C87" w:rsidRDefault="00CA333A">
      <w:r>
        <w:t>Hannah J McSorley</w:t>
      </w:r>
    </w:p>
    <w:p w:rsidR="000E7C87" w:rsidRDefault="00CA333A">
      <w:r>
        <w:t>2020-01-31</w:t>
      </w:r>
    </w:p>
    <w:p w:rsidR="000E7C87" w:rsidRDefault="00CA333A">
      <w:pPr>
        <w:pStyle w:val="Heading1"/>
      </w:pPr>
      <w:bookmarkStart w:id="1" w:name="general-introduction-context"/>
      <w:r>
        <w:lastRenderedPageBreak/>
        <w:t>General Introduction / context</w:t>
      </w:r>
      <w:bookmarkEnd w:id="1"/>
    </w:p>
    <w:p w:rsidR="000E7C87" w:rsidRDefault="00CA333A">
      <w:r>
        <w:t>Surface water is the primary source of drinking water for over 85% of the Canadian population and in the province of British Columbia, approximately 80% of drinking water originates from forested headwaters (Pike et al. 2010). Forests offer a variety of ec</w:t>
      </w:r>
      <w:r>
        <w:t>osystem services (e.g. biodiversity) and also slow and filter runoff, resulting in high quality source water supply (Dudley and Stolton 2003). Surface water quality varies over time and space due to climate, weather, and physical characteristics of the wat</w:t>
      </w:r>
      <w:r>
        <w:t xml:space="preserve">ershed (such as topography, land cover and geology) with terrestrial sediments, nutrients, and organic material (e.g. leaf litter) entering surface water through erosion and precipitation events (Pike et al. 2010; Johnson et al. 1997; Delpla and Rodriguez </w:t>
      </w:r>
      <w:r>
        <w:t>2016; Health Canada 2019; Yang et al. 2015).</w:t>
      </w:r>
    </w:p>
    <w:p w:rsidR="000E7C87" w:rsidRDefault="00CA333A">
      <w:r>
        <w:t>In Canada, all source water is treated to meet Health Canada drinking water quality guidelines, which specify allowable levels of biological, physical and chemical parameters that are safe for human use and cons</w:t>
      </w:r>
      <w:r>
        <w:t>umption (British Columbia Ministry of Environment 2017). Drinking water treatment processes vary from chlorination alone (at the simplest level) to multiple stages of chemically assisted filtration in combination with advanced oxidative processes. Water tr</w:t>
      </w:r>
      <w:r>
        <w:t>eatment protocols differ between communities based on source water quality, infrastructure capabilities, budget, and regional water quality regulations [REFS]. Chlorination remains the most widely used method of inactivating potentially harmful microorgani</w:t>
      </w:r>
      <w:r>
        <w:t>sms, whether it stands alone as the primary and sole treatment protocol, or is used in combination with other processes [HealthCanada (2006); HealthLinkBC2018].</w:t>
      </w:r>
    </w:p>
    <w:p w:rsidR="000E7C87" w:rsidRDefault="00CA333A">
      <w:r>
        <w:t xml:space="preserve">When natural source water is chlorinated, chemical reactions with natural organic matter (NOM) </w:t>
      </w:r>
      <w:r>
        <w:t xml:space="preserve">can form a variety of chlorinated organic compounds which are broadly classified as disinfection by-products (DBPs). (Richardson et al. 2007; Delpla and Rodriguez 2016; Health Canada 2019; Yang et al. 2015; Hua, Reckhow, and Abusallout 2015; Eaton, A. D., </w:t>
      </w:r>
      <w:r>
        <w:t>Clesceri, L. S., Greenberg, A. E., Franson 2000). A number of DBPs are included in Health Canada’s drinking water quality guidelines, and have maximum allowable concentrations in treated water due to their potential or known health affects (i.e. genotoxici</w:t>
      </w:r>
      <w:r>
        <w:t>ty and carcinogenicity) (Richardson et al. 2007; British Columbia Ministry of Environment 2017).</w:t>
      </w:r>
    </w:p>
    <w:p w:rsidR="000E7C87" w:rsidRDefault="00CA333A">
      <w:r>
        <w:lastRenderedPageBreak/>
        <w:t>The molecular composition and physical structure of NOM influence its reactivity, therefore different types of NOM have different DBP formation potentials (DBP</w:t>
      </w:r>
      <w:r>
        <w:t xml:space="preserve">-FP) (Delpla and Rodriguez 2016; Yang et al. 2015; Health Canada 2019). NOM is a diverse family of molecules, which contain nitrogen, silica, oxygen and hydrogen but are composed primarily of organic carbon, therefore organic carbon is often measured as a </w:t>
      </w:r>
      <w:r>
        <w:t xml:space="preserve">proxy for NOM concentration (Health Canada 2019). Total organic carbon (TOC) is composed of particulate and dissolved fractions (POC and DOC, respectively). Generally, DOC comprises a larger component of TOC relative to POC, and is more likely to generate </w:t>
      </w:r>
      <w:r>
        <w:t>DBPs during treatment [@ REFS]. Because NOM is a precursor for DBPs, source water quality guidelines in British Columbia specify that TOC should remain below 4mg/L in source water (British Columbia Ministry of Environment 2017).</w:t>
      </w:r>
    </w:p>
    <w:p w:rsidR="00D12949" w:rsidRDefault="00D12949"/>
    <w:p w:rsidR="00D12949" w:rsidRPr="00D12949" w:rsidRDefault="00D12949">
      <w:pPr>
        <w:rPr>
          <w:i/>
          <w:iCs/>
        </w:rPr>
      </w:pPr>
      <w:r>
        <w:rPr>
          <w:i/>
          <w:iCs/>
        </w:rPr>
        <w:t>{more to come}</w:t>
      </w:r>
    </w:p>
    <w:p w:rsidR="000E7C87" w:rsidRDefault="00CA333A">
      <w:pPr>
        <w:pStyle w:val="Heading1"/>
      </w:pPr>
      <w:bookmarkStart w:id="2" w:name="sample-analyses"/>
      <w:r>
        <w:lastRenderedPageBreak/>
        <w:t>Sample Analyses</w:t>
      </w:r>
      <w:bookmarkEnd w:id="2"/>
    </w:p>
    <w:p w:rsidR="000E7C87" w:rsidRDefault="00CA333A">
      <w:r>
        <w:t>Water sampl</w:t>
      </w:r>
      <w:r>
        <w:t>es were collected and transported via coolers (on ice) to UBC’s EcoHydrology Lab for analysis of dissolved organic carbon (DOC) concentrations and indicators of NOM character. Samples were also measured for phosphate concentration using a field portable co</w:t>
      </w:r>
      <w:r>
        <w:t>lourmetric test kit (HACH); each sample had phosphate concentrations below detectable limits (XXXXXX mg/L).</w:t>
      </w:r>
    </w:p>
    <w:p w:rsidR="000E7C87" w:rsidRDefault="00CA333A">
      <w:pPr>
        <w:pStyle w:val="Heading2"/>
      </w:pPr>
      <w:bookmarkStart w:id="3" w:name="quantifying-dissolved-organic-carbon-doc"/>
      <w:r>
        <w:t>Quantifying dissolved organic carbon (DOC)</w:t>
      </w:r>
      <w:bookmarkEnd w:id="3"/>
    </w:p>
    <w:p w:rsidR="000E7C87" w:rsidRDefault="00CA333A">
      <w:r>
        <w:t>For quantification of DOC, samples were analyzed for non-purgeable organic carbon (NPOC) via High-Tempera</w:t>
      </w:r>
      <w:r>
        <w:t xml:space="preserve">ture Combustion Method (5310-B) on a Shimadzu TOC-V (Eaton, A. D., Clesceri, L. S., Greenberg, A. E., Franson 2000). For this method, samples were filtered with 0.45-micron PES filters, acidified to bring pH below 2, then sparged with hydrocarbon-free air </w:t>
      </w:r>
      <w:r>
        <w:t>to drive off inorganic carbon. Following sparging, samples were combusted to convert all organic carbon to carbon dioxide which was measured with a non-dispersive infrared gas detector to quantify the DOC content of the sample. This method represents a dir</w:t>
      </w:r>
      <w:r>
        <w:t>ect method of measuring DOC, as all natural organic carbon in the sample is measured. Although small volatile organic compounds would be removed in the sparging process, most NOM compounds are of higher molecular weight and it is unlikely that NOM DOC anal</w:t>
      </w:r>
      <w:r>
        <w:t>ytes would be lost (Eaton, A. D., Clesceri, L. S., Greenberg, A. E., Franson 2000; Matilainen et al. 2011).</w:t>
      </w:r>
    </w:p>
    <w:p w:rsidR="000E7C87" w:rsidRDefault="00CA333A">
      <w:pPr>
        <w:pStyle w:val="Heading2"/>
      </w:pPr>
      <w:bookmarkStart w:id="4" w:name="X259be48cd817c7cc9c2cd4c6697189d8d3d9039"/>
      <w:r>
        <w:t>Qualifying dissolved organic matter (proxy measures of DOC)</w:t>
      </w:r>
      <w:bookmarkEnd w:id="4"/>
    </w:p>
    <w:p w:rsidR="000E7C87" w:rsidRDefault="00CA333A">
      <w:r>
        <w:t>Spectral properties of sample NOM were analyzed using a “Spectro::lyser” spectrophotomet</w:t>
      </w:r>
      <w:r>
        <w:t>er (S::can, Vienna, Austria) which measures turbidity and the chromophoric portion of organic matter to estimate concentrations of total organic carbon (TOC), dissolved organic carbon (DOC), as well as nitrate-nitrogen (NO</w:t>
      </w:r>
      <w:r>
        <w:rPr>
          <w:vertAlign w:val="subscript"/>
        </w:rPr>
        <w:t>3</w:t>
      </w:r>
      <w:r>
        <w:rPr>
          <w:vertAlign w:val="superscript"/>
        </w:rPr>
        <w:t>-</w:t>
      </w:r>
      <w:r>
        <w:t>-N). A caveat to interpreting th</w:t>
      </w:r>
      <w:r>
        <w:t xml:space="preserve">e Spectrolyser results is that, for NOM to be detected by UV-Vis absorption the molecules must absorb UV or Visible light (not all molecules do). UV-Vis absorption occurs only if the applied energy (light) can be absorbed by the molecule; in general, this </w:t>
      </w:r>
      <w:r>
        <w:t>required the presence of aromatic bonds (i.e. conjugated pi-bond systems in the molecule, a.k.a chromophore). Therefore, UV-Vis absorption is proportional to the molecule’s degree of aromaticity and is a measure of chromophoric DOM (CDOM).</w:t>
      </w:r>
    </w:p>
    <w:p w:rsidR="000E7C87" w:rsidRDefault="00CA333A">
      <w:r>
        <w:lastRenderedPageBreak/>
        <w:t>The Spectrolyser</w:t>
      </w:r>
      <w:r>
        <w:t xml:space="preserve"> outputs a fingerprint file containing absorbance values at all of the wavelengths monitored. These absorbance values can provide information about the character of NOM. For example, the ratio of the slope between 275-295nm and the slope from 350-400nm (“s</w:t>
      </w:r>
      <w:r>
        <w:t>lope ratio (SR)”), is commonly used as an indicator of molecular weight. Based on full scan data from the Spectrolyser (250-700nm), several indices of NOM character were determined {</w:t>
      </w:r>
      <w:r>
        <w:rPr>
          <w:i/>
        </w:rPr>
        <w:t>in progress</w:t>
      </w:r>
      <w:r>
        <w:t>}:</w:t>
      </w:r>
    </w:p>
    <w:p w:rsidR="000E7C87" w:rsidRDefault="00CA333A">
      <w:pPr>
        <w:numPr>
          <w:ilvl w:val="0"/>
          <w:numId w:val="13"/>
        </w:numPr>
      </w:pPr>
      <w:r>
        <w:t>SUVA</w:t>
      </w:r>
      <w:r>
        <w:rPr>
          <w:vertAlign w:val="subscript"/>
        </w:rPr>
        <w:t>254</w:t>
      </w:r>
      <w:r>
        <w:t xml:space="preserve"> — Specific UV absorbance at 254nm is the ratio of UV</w:t>
      </w:r>
      <w:r>
        <w:t xml:space="preserve"> absorption (spectral absorbance coefficient, SAC, m</w:t>
      </w:r>
      <w:r>
        <w:rPr>
          <w:vertAlign w:val="superscript"/>
        </w:rPr>
        <w:t>-1</w:t>
      </w:r>
      <w:r>
        <w:t>) at 254nm, normalized to DOC concentration (mgL</w:t>
      </w:r>
      <w:r>
        <w:rPr>
          <w:vertAlign w:val="superscript"/>
        </w:rPr>
        <w:t>-1</w:t>
      </w:r>
      <w:r>
        <w:t>). SUVA</w:t>
      </w:r>
      <w:r>
        <w:rPr>
          <w:vertAlign w:val="subscript"/>
        </w:rPr>
        <w:t>254</w:t>
      </w:r>
      <w:r>
        <w:t xml:space="preserve"> correlates strongly with DOM aromaticity (Helms et al. 2008).</w:t>
      </w:r>
    </w:p>
    <w:p w:rsidR="000E7C87" w:rsidRDefault="00CA333A">
      <w:pPr>
        <w:numPr>
          <w:ilvl w:val="0"/>
          <w:numId w:val="13"/>
        </w:numPr>
      </w:pPr>
      <w:r>
        <w:t>Spectral slopes — it has been shown that UV spectral slopes are useful semi qua</w:t>
      </w:r>
      <w:r>
        <w:t>ntitative indicators for assessing NOM molecular weights (Helms et al. 2008):</w:t>
      </w:r>
    </w:p>
    <w:p w:rsidR="000E7C87" w:rsidRDefault="00CA333A">
      <w:pPr>
        <w:numPr>
          <w:ilvl w:val="0"/>
          <w:numId w:val="12"/>
        </w:numPr>
      </w:pPr>
      <w:r>
        <w:rPr>
          <w:i/>
        </w:rPr>
        <w:t xml:space="preserve">Spectral slopes 1 &amp; 2 — the slope of spectral intensity over the shorter wavelength range of 275-295nm (1) and longer wavelength range of 350-400nm (2). </w:t>
      </w:r>
      <w:r>
        <w:t>Slope Ratio — The ratio o</w:t>
      </w:r>
      <w:r>
        <w:t>f spectral slopes 1 and 2, correlates well with CDOM molecular weight (Helms et al. 2008)</w:t>
      </w:r>
    </w:p>
    <w:p w:rsidR="000E7C87" w:rsidRDefault="00CA333A">
      <w:pPr>
        <w:pStyle w:val="Heading1"/>
      </w:pPr>
      <w:bookmarkStart w:id="5" w:name="data-visualization-summaries"/>
      <w:r>
        <w:lastRenderedPageBreak/>
        <w:t>Data Visualization &amp; Summaries</w:t>
      </w:r>
      <w:bookmarkEnd w:id="5"/>
    </w:p>
    <w:p w:rsidR="000E7C87" w:rsidRDefault="00CA333A">
      <w:pPr>
        <w:pStyle w:val="Heading2"/>
      </w:pPr>
      <w:bookmarkStart w:id="6" w:name="leech-doc-concentrations-overview"/>
      <w:r>
        <w:t>Leech DOC concentrations overview</w:t>
      </w:r>
      <w:bookmarkEnd w:id="6"/>
    </w:p>
    <w:p w:rsidR="000E7C87" w:rsidRDefault="00CA333A">
      <w:r>
        <w:t>Table 1 and Figure 1 show DOC concentrations were highest at Weeks Creek, the headwaters monitoring p</w:t>
      </w:r>
      <w:r>
        <w:t xml:space="preserve">oint for a sub-basin which included Weeks Lake and surrounding wetlands. On average, Chris Creek DOC concentration was 51% lower than Weeks creek. Below the confluence of Weeks and Chris Creek, the head of Leech River had a mean DOC concentration slightly </w:t>
      </w:r>
      <w:r>
        <w:t>less than the average of the two headwater tributaries. West Leech River had higher DOC than Cragg Creek by about 20%. Below the confluences of West Leech and Cragg Creek, the Leech Tunnel site had DOC concentrations that were 54% lower than the average at</w:t>
      </w:r>
      <w:r>
        <w:t xml:space="preserve"> the Leech head, and closer to those of Cragg Creek.</w:t>
      </w:r>
      <w:r w:rsidR="003B20A0">
        <w:t xml:space="preserve"> </w:t>
      </w:r>
    </w:p>
    <w:p w:rsidR="000E7C87" w:rsidRDefault="00CA333A">
      <w:r>
        <w:rPr>
          <w:noProof/>
        </w:rPr>
        <w:drawing>
          <wp:inline distT="0" distB="0" distL="0" distR="0">
            <wp:extent cx="5943600" cy="424542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space%20plot%20all-1.png"/>
                    <pic:cNvPicPr>
                      <a:picLocks noChangeAspect="1" noChangeArrowheads="1"/>
                    </pic:cNvPicPr>
                  </pic:nvPicPr>
                  <pic:blipFill>
                    <a:blip r:embed="rId7"/>
                    <a:stretch>
                      <a:fillRect/>
                    </a:stretch>
                  </pic:blipFill>
                  <pic:spPr bwMode="auto">
                    <a:xfrm>
                      <a:off x="0" y="0"/>
                      <a:ext cx="5943600" cy="4245428"/>
                    </a:xfrm>
                    <a:prstGeom prst="rect">
                      <a:avLst/>
                    </a:prstGeom>
                    <a:noFill/>
                    <a:ln w="9525">
                      <a:noFill/>
                      <a:headEnd/>
                      <a:tailEnd/>
                    </a:ln>
                  </pic:spPr>
                </pic:pic>
              </a:graphicData>
            </a:graphic>
          </wp:inline>
        </w:drawing>
      </w:r>
    </w:p>
    <w:p w:rsidR="000E7C87" w:rsidRDefault="00CA333A">
      <w:r>
        <w:t>Table 1: summary of DOC concentrations at the six main sites</w:t>
      </w:r>
    </w:p>
    <w:tbl>
      <w:tblPr>
        <w:tblW w:w="0" w:type="auto"/>
        <w:jc w:val="center"/>
        <w:tblLook w:val="07E0" w:firstRow="1" w:lastRow="1" w:firstColumn="1" w:lastColumn="1" w:noHBand="1" w:noVBand="1"/>
      </w:tblPr>
      <w:tblGrid>
        <w:gridCol w:w="1526"/>
        <w:gridCol w:w="1415"/>
        <w:gridCol w:w="1227"/>
        <w:gridCol w:w="685"/>
      </w:tblGrid>
      <w:tr w:rsidR="007F45C9" w:rsidTr="00511BCA">
        <w:trPr>
          <w:jc w:val="center"/>
        </w:trPr>
        <w:tc>
          <w:tcPr>
            <w:tcW w:w="0" w:type="auto"/>
            <w:gridSpan w:val="4"/>
            <w:tcBorders>
              <w:bottom w:val="single" w:sz="0" w:space="0" w:color="auto"/>
            </w:tcBorders>
            <w:vAlign w:val="bottom"/>
          </w:tcPr>
          <w:p w:rsidR="007F45C9" w:rsidRPr="003B20A0" w:rsidRDefault="007F45C9" w:rsidP="007F45C9">
            <w:pPr>
              <w:spacing w:before="0"/>
              <w:rPr>
                <w:b/>
                <w:bCs/>
              </w:rPr>
            </w:pPr>
            <w:r>
              <w:rPr>
                <w:b/>
                <w:bCs/>
              </w:rPr>
              <w:lastRenderedPageBreak/>
              <w:t xml:space="preserve">Table 1: mean DOC </w:t>
            </w:r>
          </w:p>
        </w:tc>
      </w:tr>
      <w:tr w:rsidR="000E7C87" w:rsidTr="003B20A0">
        <w:trPr>
          <w:jc w:val="center"/>
        </w:trPr>
        <w:tc>
          <w:tcPr>
            <w:tcW w:w="0" w:type="auto"/>
            <w:tcBorders>
              <w:bottom w:val="single" w:sz="0" w:space="0" w:color="auto"/>
            </w:tcBorders>
            <w:vAlign w:val="bottom"/>
          </w:tcPr>
          <w:p w:rsidR="000E7C87" w:rsidRPr="003B20A0" w:rsidRDefault="00CA333A" w:rsidP="003B20A0">
            <w:pPr>
              <w:spacing w:before="0"/>
              <w:rPr>
                <w:b/>
                <w:bCs/>
              </w:rPr>
            </w:pPr>
            <w:r w:rsidRPr="003B20A0">
              <w:rPr>
                <w:b/>
                <w:bCs/>
              </w:rPr>
              <w:t>site</w:t>
            </w:r>
          </w:p>
        </w:tc>
        <w:tc>
          <w:tcPr>
            <w:tcW w:w="0" w:type="auto"/>
            <w:tcBorders>
              <w:bottom w:val="single" w:sz="0" w:space="0" w:color="auto"/>
            </w:tcBorders>
            <w:vAlign w:val="bottom"/>
          </w:tcPr>
          <w:p w:rsidR="003B20A0" w:rsidRDefault="00CA333A" w:rsidP="003B20A0">
            <w:pPr>
              <w:spacing w:before="0"/>
              <w:jc w:val="right"/>
              <w:rPr>
                <w:b/>
                <w:bCs/>
              </w:rPr>
            </w:pPr>
            <w:r w:rsidRPr="003B20A0">
              <w:rPr>
                <w:b/>
                <w:bCs/>
              </w:rPr>
              <w:t xml:space="preserve">mean DOC </w:t>
            </w:r>
          </w:p>
          <w:p w:rsidR="000E7C87" w:rsidRPr="003B20A0" w:rsidRDefault="00CA333A" w:rsidP="003B20A0">
            <w:pPr>
              <w:spacing w:before="0"/>
              <w:jc w:val="right"/>
              <w:rPr>
                <w:b/>
                <w:bCs/>
              </w:rPr>
            </w:pPr>
            <w:r w:rsidRPr="003B20A0">
              <w:rPr>
                <w:b/>
                <w:bCs/>
              </w:rPr>
              <w:t>(mg/L)</w:t>
            </w:r>
          </w:p>
        </w:tc>
        <w:tc>
          <w:tcPr>
            <w:tcW w:w="0" w:type="auto"/>
            <w:tcBorders>
              <w:bottom w:val="single" w:sz="0" w:space="0" w:color="auto"/>
            </w:tcBorders>
            <w:vAlign w:val="bottom"/>
          </w:tcPr>
          <w:p w:rsidR="003B20A0" w:rsidRDefault="00CA333A" w:rsidP="003B20A0">
            <w:pPr>
              <w:spacing w:before="0"/>
              <w:jc w:val="right"/>
              <w:rPr>
                <w:b/>
                <w:bCs/>
              </w:rPr>
            </w:pPr>
            <w:r w:rsidRPr="003B20A0">
              <w:rPr>
                <w:b/>
                <w:bCs/>
              </w:rPr>
              <w:t xml:space="preserve">std.dev. </w:t>
            </w:r>
          </w:p>
          <w:p w:rsidR="000E7C87" w:rsidRPr="003B20A0" w:rsidRDefault="00CA333A" w:rsidP="003B20A0">
            <w:pPr>
              <w:spacing w:before="0"/>
              <w:jc w:val="right"/>
              <w:rPr>
                <w:b/>
                <w:bCs/>
              </w:rPr>
            </w:pPr>
            <w:r w:rsidRPr="003B20A0">
              <w:rPr>
                <w:b/>
                <w:bCs/>
              </w:rPr>
              <w:t>(± mg/L)</w:t>
            </w:r>
          </w:p>
        </w:tc>
        <w:tc>
          <w:tcPr>
            <w:tcW w:w="0" w:type="auto"/>
            <w:tcBorders>
              <w:bottom w:val="single" w:sz="0" w:space="0" w:color="auto"/>
            </w:tcBorders>
            <w:vAlign w:val="bottom"/>
          </w:tcPr>
          <w:p w:rsidR="003B20A0" w:rsidRDefault="00CA333A" w:rsidP="003B20A0">
            <w:pPr>
              <w:spacing w:before="0"/>
              <w:jc w:val="right"/>
              <w:rPr>
                <w:b/>
                <w:bCs/>
              </w:rPr>
            </w:pPr>
            <w:r w:rsidRPr="003B20A0">
              <w:rPr>
                <w:b/>
                <w:bCs/>
              </w:rPr>
              <w:t xml:space="preserve">RSD </w:t>
            </w:r>
          </w:p>
          <w:p w:rsidR="000E7C87" w:rsidRPr="003B20A0" w:rsidRDefault="00CA333A" w:rsidP="003B20A0">
            <w:pPr>
              <w:spacing w:before="0"/>
              <w:jc w:val="right"/>
              <w:rPr>
                <w:b/>
                <w:bCs/>
              </w:rPr>
            </w:pPr>
            <w:r w:rsidRPr="003B20A0">
              <w:rPr>
                <w:b/>
                <w:bCs/>
              </w:rPr>
              <w:t>(%)</w:t>
            </w:r>
          </w:p>
        </w:tc>
      </w:tr>
      <w:tr w:rsidR="000E7C87" w:rsidTr="003B20A0">
        <w:trPr>
          <w:jc w:val="center"/>
        </w:trPr>
        <w:tc>
          <w:tcPr>
            <w:tcW w:w="0" w:type="auto"/>
          </w:tcPr>
          <w:p w:rsidR="000E7C87" w:rsidRPr="003B20A0" w:rsidRDefault="00CA333A" w:rsidP="003B20A0">
            <w:pPr>
              <w:spacing w:before="0"/>
              <w:rPr>
                <w:b/>
                <w:bCs/>
              </w:rPr>
            </w:pPr>
            <w:r w:rsidRPr="003B20A0">
              <w:rPr>
                <w:b/>
                <w:bCs/>
              </w:rPr>
              <w:t>Weeks-out</w:t>
            </w:r>
          </w:p>
        </w:tc>
        <w:tc>
          <w:tcPr>
            <w:tcW w:w="0" w:type="auto"/>
          </w:tcPr>
          <w:p w:rsidR="000E7C87" w:rsidRDefault="00CA333A" w:rsidP="003B20A0">
            <w:pPr>
              <w:spacing w:before="0"/>
              <w:jc w:val="right"/>
            </w:pPr>
            <w:r>
              <w:t>10.4</w:t>
            </w:r>
          </w:p>
        </w:tc>
        <w:tc>
          <w:tcPr>
            <w:tcW w:w="0" w:type="auto"/>
          </w:tcPr>
          <w:p w:rsidR="000E7C87" w:rsidRDefault="00CA333A" w:rsidP="003B20A0">
            <w:pPr>
              <w:spacing w:before="0"/>
              <w:jc w:val="right"/>
            </w:pPr>
            <w:r>
              <w:t>3.6</w:t>
            </w:r>
          </w:p>
        </w:tc>
        <w:tc>
          <w:tcPr>
            <w:tcW w:w="0" w:type="auto"/>
          </w:tcPr>
          <w:p w:rsidR="000E7C87" w:rsidRDefault="00CA333A" w:rsidP="003B20A0">
            <w:pPr>
              <w:spacing w:before="0"/>
              <w:jc w:val="right"/>
            </w:pPr>
            <w:r>
              <w:t>34.4</w:t>
            </w:r>
          </w:p>
        </w:tc>
      </w:tr>
      <w:tr w:rsidR="000E7C87" w:rsidTr="003B20A0">
        <w:trPr>
          <w:jc w:val="center"/>
        </w:trPr>
        <w:tc>
          <w:tcPr>
            <w:tcW w:w="0" w:type="auto"/>
          </w:tcPr>
          <w:p w:rsidR="000E7C87" w:rsidRPr="003B20A0" w:rsidRDefault="00CA333A" w:rsidP="003B20A0">
            <w:pPr>
              <w:spacing w:before="0"/>
              <w:rPr>
                <w:b/>
                <w:bCs/>
              </w:rPr>
            </w:pPr>
            <w:r w:rsidRPr="003B20A0">
              <w:rPr>
                <w:b/>
                <w:bCs/>
              </w:rPr>
              <w:t>Chris-crk</w:t>
            </w:r>
          </w:p>
        </w:tc>
        <w:tc>
          <w:tcPr>
            <w:tcW w:w="0" w:type="auto"/>
          </w:tcPr>
          <w:p w:rsidR="000E7C87" w:rsidRDefault="00CA333A" w:rsidP="003B20A0">
            <w:pPr>
              <w:spacing w:before="0"/>
              <w:jc w:val="right"/>
            </w:pPr>
            <w:r>
              <w:t>5.1</w:t>
            </w:r>
          </w:p>
        </w:tc>
        <w:tc>
          <w:tcPr>
            <w:tcW w:w="0" w:type="auto"/>
          </w:tcPr>
          <w:p w:rsidR="000E7C87" w:rsidRDefault="00CA333A" w:rsidP="003B20A0">
            <w:pPr>
              <w:spacing w:before="0"/>
              <w:jc w:val="right"/>
            </w:pPr>
            <w:r>
              <w:t>2.1</w:t>
            </w:r>
          </w:p>
        </w:tc>
        <w:tc>
          <w:tcPr>
            <w:tcW w:w="0" w:type="auto"/>
          </w:tcPr>
          <w:p w:rsidR="000E7C87" w:rsidRDefault="00CA333A" w:rsidP="003B20A0">
            <w:pPr>
              <w:spacing w:before="0"/>
              <w:jc w:val="right"/>
            </w:pPr>
            <w:r>
              <w:t>40.9</w:t>
            </w:r>
          </w:p>
        </w:tc>
      </w:tr>
      <w:tr w:rsidR="000E7C87" w:rsidTr="003B20A0">
        <w:trPr>
          <w:jc w:val="center"/>
        </w:trPr>
        <w:tc>
          <w:tcPr>
            <w:tcW w:w="0" w:type="auto"/>
          </w:tcPr>
          <w:p w:rsidR="000E7C87" w:rsidRPr="003B20A0" w:rsidRDefault="00CA333A" w:rsidP="003B20A0">
            <w:pPr>
              <w:spacing w:before="0"/>
              <w:rPr>
                <w:b/>
                <w:bCs/>
              </w:rPr>
            </w:pPr>
            <w:r w:rsidRPr="003B20A0">
              <w:rPr>
                <w:b/>
                <w:bCs/>
              </w:rPr>
              <w:t>Leech-head</w:t>
            </w:r>
          </w:p>
        </w:tc>
        <w:tc>
          <w:tcPr>
            <w:tcW w:w="0" w:type="auto"/>
          </w:tcPr>
          <w:p w:rsidR="000E7C87" w:rsidRDefault="00CA333A" w:rsidP="003B20A0">
            <w:pPr>
              <w:spacing w:before="0"/>
              <w:jc w:val="right"/>
            </w:pPr>
            <w:r>
              <w:t>7.3</w:t>
            </w:r>
          </w:p>
        </w:tc>
        <w:tc>
          <w:tcPr>
            <w:tcW w:w="0" w:type="auto"/>
          </w:tcPr>
          <w:p w:rsidR="000E7C87" w:rsidRDefault="00CA333A" w:rsidP="003B20A0">
            <w:pPr>
              <w:spacing w:before="0"/>
              <w:jc w:val="right"/>
            </w:pPr>
            <w:r>
              <w:t>1.6</w:t>
            </w:r>
          </w:p>
        </w:tc>
        <w:tc>
          <w:tcPr>
            <w:tcW w:w="0" w:type="auto"/>
          </w:tcPr>
          <w:p w:rsidR="000E7C87" w:rsidRDefault="00CA333A" w:rsidP="003B20A0">
            <w:pPr>
              <w:spacing w:before="0"/>
              <w:jc w:val="right"/>
            </w:pPr>
            <w:r>
              <w:t>22.1</w:t>
            </w:r>
          </w:p>
        </w:tc>
      </w:tr>
      <w:tr w:rsidR="000E7C87" w:rsidTr="003B20A0">
        <w:trPr>
          <w:jc w:val="center"/>
        </w:trPr>
        <w:tc>
          <w:tcPr>
            <w:tcW w:w="0" w:type="auto"/>
          </w:tcPr>
          <w:p w:rsidR="000E7C87" w:rsidRPr="003B20A0" w:rsidRDefault="00CA333A" w:rsidP="003B20A0">
            <w:pPr>
              <w:spacing w:before="0"/>
              <w:rPr>
                <w:b/>
                <w:bCs/>
              </w:rPr>
            </w:pPr>
            <w:r w:rsidRPr="003B20A0">
              <w:rPr>
                <w:b/>
                <w:bCs/>
              </w:rPr>
              <w:t>Cragg-crk</w:t>
            </w:r>
          </w:p>
        </w:tc>
        <w:tc>
          <w:tcPr>
            <w:tcW w:w="0" w:type="auto"/>
          </w:tcPr>
          <w:p w:rsidR="000E7C87" w:rsidRDefault="00CA333A" w:rsidP="003B20A0">
            <w:pPr>
              <w:spacing w:before="0"/>
              <w:jc w:val="right"/>
            </w:pPr>
            <w:r>
              <w:t>4.7</w:t>
            </w:r>
          </w:p>
        </w:tc>
        <w:tc>
          <w:tcPr>
            <w:tcW w:w="0" w:type="auto"/>
          </w:tcPr>
          <w:p w:rsidR="000E7C87" w:rsidRDefault="00CA333A" w:rsidP="003B20A0">
            <w:pPr>
              <w:spacing w:before="0"/>
              <w:jc w:val="right"/>
            </w:pPr>
            <w:r>
              <w:t>1.5</w:t>
            </w:r>
          </w:p>
        </w:tc>
        <w:tc>
          <w:tcPr>
            <w:tcW w:w="0" w:type="auto"/>
          </w:tcPr>
          <w:p w:rsidR="000E7C87" w:rsidRDefault="00CA333A" w:rsidP="003B20A0">
            <w:pPr>
              <w:spacing w:before="0"/>
              <w:jc w:val="right"/>
            </w:pPr>
            <w:r>
              <w:t>32.4</w:t>
            </w:r>
          </w:p>
        </w:tc>
      </w:tr>
      <w:tr w:rsidR="000E7C87" w:rsidTr="003B20A0">
        <w:trPr>
          <w:jc w:val="center"/>
        </w:trPr>
        <w:tc>
          <w:tcPr>
            <w:tcW w:w="0" w:type="auto"/>
          </w:tcPr>
          <w:p w:rsidR="000E7C87" w:rsidRPr="003B20A0" w:rsidRDefault="00CA333A" w:rsidP="003B20A0">
            <w:pPr>
              <w:spacing w:before="0"/>
              <w:rPr>
                <w:b/>
                <w:bCs/>
              </w:rPr>
            </w:pPr>
            <w:r w:rsidRPr="003B20A0">
              <w:rPr>
                <w:b/>
                <w:bCs/>
              </w:rPr>
              <w:t>West-Leech</w:t>
            </w:r>
          </w:p>
        </w:tc>
        <w:tc>
          <w:tcPr>
            <w:tcW w:w="0" w:type="auto"/>
          </w:tcPr>
          <w:p w:rsidR="000E7C87" w:rsidRDefault="00CA333A" w:rsidP="003B20A0">
            <w:pPr>
              <w:spacing w:before="0"/>
              <w:jc w:val="right"/>
            </w:pPr>
            <w:r>
              <w:t>5.9</w:t>
            </w:r>
          </w:p>
        </w:tc>
        <w:tc>
          <w:tcPr>
            <w:tcW w:w="0" w:type="auto"/>
          </w:tcPr>
          <w:p w:rsidR="000E7C87" w:rsidRDefault="00CA333A" w:rsidP="003B20A0">
            <w:pPr>
              <w:spacing w:before="0"/>
              <w:jc w:val="right"/>
            </w:pPr>
            <w:r>
              <w:t>2.3</w:t>
            </w:r>
          </w:p>
        </w:tc>
        <w:tc>
          <w:tcPr>
            <w:tcW w:w="0" w:type="auto"/>
          </w:tcPr>
          <w:p w:rsidR="000E7C87" w:rsidRDefault="00CA333A" w:rsidP="003B20A0">
            <w:pPr>
              <w:spacing w:before="0"/>
              <w:jc w:val="right"/>
            </w:pPr>
            <w:r>
              <w:t>39.2</w:t>
            </w:r>
          </w:p>
        </w:tc>
      </w:tr>
      <w:tr w:rsidR="000E7C87" w:rsidTr="003B20A0">
        <w:trPr>
          <w:jc w:val="center"/>
        </w:trPr>
        <w:tc>
          <w:tcPr>
            <w:tcW w:w="0" w:type="auto"/>
          </w:tcPr>
          <w:p w:rsidR="000E7C87" w:rsidRPr="003B20A0" w:rsidRDefault="00CA333A" w:rsidP="003B20A0">
            <w:pPr>
              <w:spacing w:before="0"/>
              <w:rPr>
                <w:b/>
                <w:bCs/>
              </w:rPr>
            </w:pPr>
            <w:r w:rsidRPr="003B20A0">
              <w:rPr>
                <w:b/>
                <w:bCs/>
              </w:rPr>
              <w:t>Tunnel</w:t>
            </w:r>
          </w:p>
        </w:tc>
        <w:tc>
          <w:tcPr>
            <w:tcW w:w="0" w:type="auto"/>
          </w:tcPr>
          <w:p w:rsidR="000E7C87" w:rsidRDefault="00CA333A" w:rsidP="003B20A0">
            <w:pPr>
              <w:spacing w:before="0"/>
              <w:jc w:val="right"/>
            </w:pPr>
            <w:r>
              <w:t>4.8</w:t>
            </w:r>
          </w:p>
        </w:tc>
        <w:tc>
          <w:tcPr>
            <w:tcW w:w="0" w:type="auto"/>
          </w:tcPr>
          <w:p w:rsidR="000E7C87" w:rsidRDefault="00CA333A" w:rsidP="003B20A0">
            <w:pPr>
              <w:spacing w:before="0"/>
              <w:jc w:val="right"/>
            </w:pPr>
            <w:r>
              <w:t>1.8</w:t>
            </w:r>
          </w:p>
        </w:tc>
        <w:tc>
          <w:tcPr>
            <w:tcW w:w="0" w:type="auto"/>
          </w:tcPr>
          <w:p w:rsidR="000E7C87" w:rsidRDefault="00CA333A" w:rsidP="003B20A0">
            <w:pPr>
              <w:spacing w:before="0"/>
              <w:jc w:val="right"/>
            </w:pPr>
            <w:r>
              <w:t>37.7</w:t>
            </w:r>
          </w:p>
        </w:tc>
      </w:tr>
    </w:tbl>
    <w:p w:rsidR="003B20A0" w:rsidRDefault="003B20A0"/>
    <w:p w:rsidR="003B20A0" w:rsidRDefault="003B20A0">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150495</wp:posOffset>
            </wp:positionV>
            <wp:extent cx="4175760" cy="4906010"/>
            <wp:effectExtent l="0" t="0" r="0" b="0"/>
            <wp:wrapSquare wrapText="bothSides"/>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ch-map_basin-site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5760" cy="4906010"/>
                    </a:xfrm>
                    <a:prstGeom prst="rect">
                      <a:avLst/>
                    </a:prstGeom>
                  </pic:spPr>
                </pic:pic>
              </a:graphicData>
            </a:graphic>
            <wp14:sizeRelH relativeFrom="page">
              <wp14:pctWidth>0</wp14:pctWidth>
            </wp14:sizeRelH>
            <wp14:sizeRelV relativeFrom="page">
              <wp14:pctHeight>0</wp14:pctHeight>
            </wp14:sizeRelV>
          </wp:anchor>
        </w:drawing>
      </w:r>
    </w:p>
    <w:p w:rsidR="000E7C87" w:rsidRDefault="00CA333A">
      <w:r>
        <w:t>At the six sub-basin monitoring sites, vertical racks were installed to collect samples as the rivers rose in response to precipitation events.</w:t>
      </w:r>
    </w:p>
    <w:p w:rsidR="000E7C87" w:rsidRDefault="00CA333A">
      <w:r>
        <w:t>These vertical racks collected samples on the rising hyd</w:t>
      </w:r>
      <w:r>
        <w:t xml:space="preserve">rograph limb, which has been shown to have higher DOC concentration that non-storm flow (Yang et al. 2015; Raymond et al. 2016, 2010). As the vertical racks require a hydrologic response to collect samples, they are only applicable during the wet season. </w:t>
      </w:r>
      <w:r>
        <w:lastRenderedPageBreak/>
        <w:t>C</w:t>
      </w:r>
      <w:r>
        <w:t>omparing wet season Grab samples to those collected on Racks confirms that the rack samplers were able to capture more samples, and many during periods with higher DOC concentrations (Fig.2).</w:t>
      </w:r>
    </w:p>
    <w:p w:rsidR="000E7C87" w:rsidRDefault="00CA333A">
      <w:r>
        <w:rPr>
          <w:noProof/>
        </w:rPr>
        <w:drawing>
          <wp:inline distT="0" distB="0" distL="0" distR="0">
            <wp:extent cx="5943600" cy="4457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space-time%20boxplot-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p w:rsidR="000E7C87" w:rsidRDefault="00CA333A">
      <w:pPr>
        <w:pStyle w:val="Heading2"/>
      </w:pPr>
      <w:bookmarkStart w:id="7" w:name="sampling-campaign"/>
      <w:r>
        <w:t>Sampling campaign</w:t>
      </w:r>
      <w:bookmarkEnd w:id="7"/>
    </w:p>
    <w:p w:rsidR="000E7C87" w:rsidRDefault="00CA333A">
      <w:r>
        <w:t>Four hundred water sample were collected and analyzed for DOC over a 16 month study period (October 2018 to February 2020). The synoptic grab-sampling program was enhanced by the collection of stormflow on the six vertical sampling racks. In total, 171 sam</w:t>
      </w:r>
      <w:r>
        <w:t>ples were collected on vertical Racks, 215 Grab samples were collected at 15 synoptically sampled sites (which included the six installation sites), and an additional 14 Grab samples were collected opportunistically at one-off sites across the water supply</w:t>
      </w:r>
      <w:r>
        <w:t xml:space="preserve"> area. Figure 3 shows DOC concentrations across the 15 synoptically sampled sites over the study period (n=386).</w:t>
      </w:r>
    </w:p>
    <w:p w:rsidR="000E7C87" w:rsidRDefault="00CA333A">
      <w:r>
        <w:rPr>
          <w:noProof/>
        </w:rPr>
        <w:lastRenderedPageBreak/>
        <w:drawing>
          <wp:inline distT="0" distB="0" distL="0" distR="0">
            <wp:extent cx="5943600" cy="4457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scatter%20plots%20by%20sample_type-1.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headEnd/>
                      <a:tailEnd/>
                    </a:ln>
                  </pic:spPr>
                </pic:pic>
              </a:graphicData>
            </a:graphic>
          </wp:inline>
        </w:drawing>
      </w:r>
      <w:r>
        <w:t xml:space="preserve"> Over the study period, DOC concentrations decreased throughout the wet season, and increased again during the dry summer months (Fig.3). This</w:t>
      </w:r>
      <w:r>
        <w:t xml:space="preserve"> seasonal DOC concentration pattern was clear at each of the six installation locations in the LWSA (Fig.4).</w:t>
      </w:r>
    </w:p>
    <w:p w:rsidR="000E7C87" w:rsidRDefault="00CA333A">
      <w:r>
        <w:rPr>
          <w:noProof/>
        </w:rPr>
        <w:lastRenderedPageBreak/>
        <w:drawing>
          <wp:inline distT="0" distB="0" distL="0" distR="0">
            <wp:extent cx="5943600" cy="4457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over%20time%20at%206%20sites%20by%20sample_type-1.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headEnd/>
                      <a:tailEnd/>
                    </a:ln>
                  </pic:spPr>
                </pic:pic>
              </a:graphicData>
            </a:graphic>
          </wp:inline>
        </w:drawing>
      </w:r>
    </w:p>
    <w:p w:rsidR="000E7C87" w:rsidRDefault="00CA333A">
      <w:pPr>
        <w:pStyle w:val="Heading2"/>
      </w:pPr>
      <w:bookmarkStart w:id="8" w:name="seasonal-examination-of-doc-dom-dynamics"/>
      <w:r>
        <w:t>Seasonal examination of DOC &amp; DOM dynamics</w:t>
      </w:r>
      <w:bookmarkEnd w:id="8"/>
    </w:p>
    <w:p w:rsidR="000E7C87" w:rsidRDefault="00CA333A">
      <w:r>
        <w:t>In this section, a categorical season ID was used to assess temporal variations in DOC. Seasons were s</w:t>
      </w:r>
      <w:r>
        <w:t>eparated based on months of the year: the wet season was October through May, and the dry season was June until October.</w:t>
      </w:r>
    </w:p>
    <w:p w:rsidR="000E7C87" w:rsidRDefault="00CA333A">
      <w:pPr>
        <w:numPr>
          <w:ilvl w:val="0"/>
          <w:numId w:val="14"/>
        </w:numPr>
      </w:pPr>
      <w:r>
        <w:t>Precipitation data will be employed to operationally separate season (data obtained January 31, 2020 from CRD).</w:t>
      </w:r>
    </w:p>
    <w:p w:rsidR="000E7C87" w:rsidRDefault="00CA333A">
      <w:r>
        <w:t>These seasonal plots sh</w:t>
      </w:r>
      <w:r>
        <w:t>ow data from both Rack and Grab samples in order to include the full available range of concentrations.</w:t>
      </w:r>
    </w:p>
    <w:p w:rsidR="000E7C87" w:rsidRDefault="00CA333A">
      <w:r>
        <w:t xml:space="preserve">In the wet season, DOC concentrations generally increased during stormflow (relative to between-storm peaks) </w:t>
      </w:r>
      <w:r>
        <w:rPr>
          <w:i/>
        </w:rPr>
        <w:t>{data not shown here}</w:t>
      </w:r>
      <w:r>
        <w:t>, and progressively dr</w:t>
      </w:r>
      <w:r>
        <w:t>opped over the course of the wet season. During dry season baseflow, DOC concentration was elevated compared to late wet season DOC (Fig.5).</w:t>
      </w:r>
    </w:p>
    <w:p w:rsidR="000E7C87" w:rsidRDefault="00CA333A">
      <w:r>
        <w:rPr>
          <w:noProof/>
        </w:rPr>
        <w:lastRenderedPageBreak/>
        <w:drawing>
          <wp:inline distT="0" distB="0" distL="0" distR="0">
            <wp:extent cx="5943600" cy="4457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seasonal%20DOC%20table%20and%20ridge%20plot-1.png"/>
                    <pic:cNvPicPr>
                      <a:picLocks noChangeAspect="1" noChangeArrowheads="1"/>
                    </pic:cNvPicPr>
                  </pic:nvPicPr>
                  <pic:blipFill>
                    <a:blip r:embed="rId12"/>
                    <a:stretch>
                      <a:fillRect/>
                    </a:stretch>
                  </pic:blipFill>
                  <pic:spPr bwMode="auto">
                    <a:xfrm>
                      <a:off x="0" y="0"/>
                      <a:ext cx="5943600" cy="4457700"/>
                    </a:xfrm>
                    <a:prstGeom prst="rect">
                      <a:avLst/>
                    </a:prstGeom>
                    <a:noFill/>
                    <a:ln w="9525">
                      <a:noFill/>
                      <a:headEnd/>
                      <a:tailEnd/>
                    </a:ln>
                  </pic:spPr>
                </pic:pic>
              </a:graphicData>
            </a:graphic>
          </wp:inline>
        </w:drawing>
      </w:r>
    </w:p>
    <w:p w:rsidR="007F45C9" w:rsidRDefault="007F45C9"/>
    <w:p w:rsidR="000E7C87" w:rsidRDefault="00CA333A">
      <w:r>
        <w:t>At each of the six sub-basin monitoring locatio</w:t>
      </w:r>
      <w:r>
        <w:t>n</w:t>
      </w:r>
      <w:r>
        <w:t xml:space="preserve">s, mean DOC was higher during the dry season than during the wet </w:t>
      </w:r>
      <w:r>
        <w:t>season (Table 2, Fig.8). There was less variation in dry season DOC concentrations at each site also (Table 2), which could be due to actual reduction in variance in the absence of stormflow pulses and also due to fewer dry season samples (n = 46) compared</w:t>
      </w:r>
      <w:r>
        <w:t xml:space="preserve"> to wet season samples (n = 278).</w:t>
      </w:r>
    </w:p>
    <w:p w:rsidR="007F45C9" w:rsidRDefault="007F45C9"/>
    <w:p w:rsidR="007F45C9" w:rsidRDefault="007F45C9"/>
    <w:p w:rsidR="007F45C9" w:rsidRDefault="007F45C9"/>
    <w:p w:rsidR="007F45C9" w:rsidRDefault="007F45C9"/>
    <w:p w:rsidR="007F45C9" w:rsidRDefault="007F45C9"/>
    <w:tbl>
      <w:tblPr>
        <w:tblW w:w="0" w:type="auto"/>
        <w:jc w:val="center"/>
        <w:tblLook w:val="07E0" w:firstRow="1" w:lastRow="1" w:firstColumn="1" w:lastColumn="1" w:noHBand="1" w:noVBand="1"/>
      </w:tblPr>
      <w:tblGrid>
        <w:gridCol w:w="1456"/>
        <w:gridCol w:w="614"/>
        <w:gridCol w:w="2256"/>
        <w:gridCol w:w="2180"/>
        <w:gridCol w:w="1202"/>
      </w:tblGrid>
      <w:tr w:rsidR="007F45C9" w:rsidTr="007F45C9">
        <w:trPr>
          <w:jc w:val="center"/>
        </w:trPr>
        <w:tc>
          <w:tcPr>
            <w:tcW w:w="0" w:type="auto"/>
            <w:gridSpan w:val="5"/>
            <w:tcBorders>
              <w:bottom w:val="single" w:sz="0" w:space="0" w:color="auto"/>
            </w:tcBorders>
            <w:vAlign w:val="bottom"/>
          </w:tcPr>
          <w:p w:rsidR="007F45C9" w:rsidRPr="00240E97" w:rsidRDefault="007F45C9" w:rsidP="00240E97">
            <w:pPr>
              <w:spacing w:before="0"/>
              <w:jc w:val="right"/>
              <w:rPr>
                <w:b/>
                <w:bCs/>
              </w:rPr>
            </w:pPr>
            <w:r>
              <w:rPr>
                <w:b/>
                <w:bCs/>
              </w:rPr>
              <w:t>Table 2: seasonal DOC, Rack and Grab (n=324)</w:t>
            </w:r>
          </w:p>
        </w:tc>
      </w:tr>
      <w:tr w:rsidR="000E7C87" w:rsidTr="007F45C9">
        <w:trPr>
          <w:jc w:val="center"/>
        </w:trPr>
        <w:tc>
          <w:tcPr>
            <w:tcW w:w="0" w:type="auto"/>
            <w:tcBorders>
              <w:bottom w:val="single" w:sz="2" w:space="0" w:color="auto"/>
            </w:tcBorders>
            <w:vAlign w:val="bottom"/>
          </w:tcPr>
          <w:p w:rsidR="000E7C87" w:rsidRPr="00240E97" w:rsidRDefault="00CA333A" w:rsidP="00240E97">
            <w:pPr>
              <w:spacing w:before="0"/>
              <w:rPr>
                <w:b/>
                <w:bCs/>
              </w:rPr>
            </w:pPr>
            <w:r w:rsidRPr="00240E97">
              <w:rPr>
                <w:b/>
                <w:bCs/>
              </w:rPr>
              <w:t>season</w:t>
            </w:r>
          </w:p>
        </w:tc>
        <w:tc>
          <w:tcPr>
            <w:tcW w:w="0" w:type="auto"/>
            <w:tcBorders>
              <w:bottom w:val="single" w:sz="2" w:space="0" w:color="auto"/>
            </w:tcBorders>
            <w:vAlign w:val="bottom"/>
          </w:tcPr>
          <w:p w:rsidR="000E7C87" w:rsidRPr="00240E97" w:rsidRDefault="00CA333A" w:rsidP="00240E97">
            <w:pPr>
              <w:spacing w:before="0"/>
              <w:rPr>
                <w:b/>
                <w:bCs/>
              </w:rPr>
            </w:pPr>
            <w:r w:rsidRPr="00240E97">
              <w:rPr>
                <w:b/>
                <w:bCs/>
              </w:rPr>
              <w:t>site</w:t>
            </w:r>
          </w:p>
        </w:tc>
        <w:tc>
          <w:tcPr>
            <w:tcW w:w="0" w:type="auto"/>
            <w:tcBorders>
              <w:bottom w:val="single" w:sz="2" w:space="0" w:color="auto"/>
            </w:tcBorders>
            <w:vAlign w:val="bottom"/>
          </w:tcPr>
          <w:p w:rsidR="000E7C87" w:rsidRPr="00240E97" w:rsidRDefault="00240E97" w:rsidP="007F45C9">
            <w:pPr>
              <w:spacing w:before="0"/>
              <w:jc w:val="right"/>
              <w:rPr>
                <w:b/>
                <w:bCs/>
              </w:rPr>
            </w:pPr>
            <w:r w:rsidRPr="00240E97">
              <w:rPr>
                <w:b/>
                <w:bCs/>
              </w:rPr>
              <w:t>m</w:t>
            </w:r>
            <w:r w:rsidR="00CA333A" w:rsidRPr="00240E97">
              <w:rPr>
                <w:b/>
                <w:bCs/>
              </w:rPr>
              <w:t>ean</w:t>
            </w:r>
            <w:r w:rsidRPr="00240E97">
              <w:rPr>
                <w:b/>
                <w:bCs/>
              </w:rPr>
              <w:t xml:space="preserve"> </w:t>
            </w:r>
            <w:r w:rsidR="00CA333A" w:rsidRPr="00240E97">
              <w:rPr>
                <w:b/>
                <w:bCs/>
              </w:rPr>
              <w:t>DOC</w:t>
            </w:r>
            <w:r w:rsidR="007F45C9">
              <w:rPr>
                <w:b/>
                <w:bCs/>
              </w:rPr>
              <w:t xml:space="preserve"> </w:t>
            </w:r>
            <w:r w:rsidR="00CA333A" w:rsidRPr="00240E97">
              <w:rPr>
                <w:b/>
                <w:bCs/>
              </w:rPr>
              <w:t>(mg/L)</w:t>
            </w:r>
          </w:p>
        </w:tc>
        <w:tc>
          <w:tcPr>
            <w:tcW w:w="0" w:type="auto"/>
            <w:tcBorders>
              <w:bottom w:val="single" w:sz="2" w:space="0" w:color="auto"/>
            </w:tcBorders>
            <w:vAlign w:val="bottom"/>
          </w:tcPr>
          <w:p w:rsidR="000E7C87" w:rsidRPr="00240E97" w:rsidRDefault="00CA333A" w:rsidP="007F45C9">
            <w:pPr>
              <w:spacing w:before="0"/>
              <w:jc w:val="right"/>
              <w:rPr>
                <w:b/>
                <w:bCs/>
              </w:rPr>
            </w:pPr>
            <w:r w:rsidRPr="00240E97">
              <w:rPr>
                <w:b/>
                <w:bCs/>
              </w:rPr>
              <w:t>std.dev. (± mg/L)</w:t>
            </w:r>
          </w:p>
        </w:tc>
        <w:tc>
          <w:tcPr>
            <w:tcW w:w="0" w:type="auto"/>
            <w:tcBorders>
              <w:bottom w:val="single" w:sz="2" w:space="0" w:color="auto"/>
            </w:tcBorders>
            <w:vAlign w:val="bottom"/>
          </w:tcPr>
          <w:p w:rsidR="000E7C87" w:rsidRPr="00240E97" w:rsidRDefault="00CA333A" w:rsidP="007F45C9">
            <w:pPr>
              <w:spacing w:before="0"/>
              <w:jc w:val="right"/>
              <w:rPr>
                <w:b/>
                <w:bCs/>
              </w:rPr>
            </w:pPr>
            <w:proofErr w:type="gramStart"/>
            <w:r w:rsidRPr="00240E97">
              <w:rPr>
                <w:b/>
                <w:bCs/>
              </w:rPr>
              <w:t>RSD</w:t>
            </w:r>
            <w:r w:rsidR="007F45C9">
              <w:rPr>
                <w:b/>
                <w:bCs/>
              </w:rPr>
              <w:t xml:space="preserve">  (</w:t>
            </w:r>
            <w:proofErr w:type="gramEnd"/>
            <w:r w:rsidRPr="00240E97">
              <w:rPr>
                <w:b/>
                <w:bCs/>
              </w:rPr>
              <w:t>%)</w:t>
            </w:r>
          </w:p>
        </w:tc>
      </w:tr>
      <w:tr w:rsidR="000E7C87" w:rsidTr="007F45C9">
        <w:trPr>
          <w:jc w:val="center"/>
        </w:trPr>
        <w:tc>
          <w:tcPr>
            <w:tcW w:w="0" w:type="auto"/>
            <w:tcBorders>
              <w:top w:val="single" w:sz="2" w:space="0" w:color="auto"/>
            </w:tcBorders>
            <w:shd w:val="clear" w:color="auto" w:fill="auto"/>
          </w:tcPr>
          <w:p w:rsidR="000E7C87" w:rsidRDefault="00CA333A" w:rsidP="00240E97">
            <w:pPr>
              <w:spacing w:before="0"/>
            </w:pPr>
            <w:r>
              <w:t>Weeks-out</w:t>
            </w:r>
          </w:p>
        </w:tc>
        <w:tc>
          <w:tcPr>
            <w:tcW w:w="0" w:type="auto"/>
            <w:tcBorders>
              <w:top w:val="single" w:sz="2" w:space="0" w:color="auto"/>
            </w:tcBorders>
            <w:shd w:val="clear" w:color="auto" w:fill="auto"/>
          </w:tcPr>
          <w:p w:rsidR="000E7C87" w:rsidRDefault="00CA333A" w:rsidP="00240E97">
            <w:pPr>
              <w:spacing w:before="0"/>
            </w:pPr>
            <w:r>
              <w:t>dry</w:t>
            </w:r>
          </w:p>
        </w:tc>
        <w:tc>
          <w:tcPr>
            <w:tcW w:w="0" w:type="auto"/>
            <w:tcBorders>
              <w:top w:val="single" w:sz="2" w:space="0" w:color="auto"/>
            </w:tcBorders>
            <w:shd w:val="clear" w:color="auto" w:fill="auto"/>
          </w:tcPr>
          <w:p w:rsidR="000E7C87" w:rsidRDefault="00CA333A" w:rsidP="00240E97">
            <w:pPr>
              <w:spacing w:before="0"/>
              <w:jc w:val="right"/>
            </w:pPr>
            <w:r>
              <w:t>13.4</w:t>
            </w:r>
          </w:p>
        </w:tc>
        <w:tc>
          <w:tcPr>
            <w:tcW w:w="0" w:type="auto"/>
            <w:tcBorders>
              <w:top w:val="single" w:sz="2" w:space="0" w:color="auto"/>
            </w:tcBorders>
            <w:shd w:val="clear" w:color="auto" w:fill="auto"/>
          </w:tcPr>
          <w:p w:rsidR="000E7C87" w:rsidRDefault="00CA333A" w:rsidP="00240E97">
            <w:pPr>
              <w:spacing w:before="0"/>
              <w:jc w:val="right"/>
            </w:pPr>
            <w:r>
              <w:t>3.4</w:t>
            </w:r>
          </w:p>
        </w:tc>
        <w:tc>
          <w:tcPr>
            <w:tcW w:w="0" w:type="auto"/>
            <w:tcBorders>
              <w:top w:val="single" w:sz="2" w:space="0" w:color="auto"/>
            </w:tcBorders>
            <w:shd w:val="clear" w:color="auto" w:fill="auto"/>
          </w:tcPr>
          <w:p w:rsidR="000E7C87" w:rsidRDefault="00CA333A" w:rsidP="00240E97">
            <w:pPr>
              <w:spacing w:before="0"/>
              <w:jc w:val="right"/>
            </w:pPr>
            <w:r>
              <w:t>25.3</w:t>
            </w:r>
          </w:p>
        </w:tc>
      </w:tr>
      <w:tr w:rsidR="007F45C9" w:rsidTr="007F45C9">
        <w:trPr>
          <w:jc w:val="center"/>
        </w:trPr>
        <w:tc>
          <w:tcPr>
            <w:tcW w:w="0" w:type="auto"/>
            <w:tcBorders>
              <w:bottom w:val="dashed" w:sz="4" w:space="0" w:color="auto"/>
            </w:tcBorders>
            <w:shd w:val="clear" w:color="auto" w:fill="auto"/>
          </w:tcPr>
          <w:p w:rsidR="000E7C87" w:rsidRDefault="00CA333A" w:rsidP="00240E97">
            <w:pPr>
              <w:spacing w:before="0"/>
            </w:pPr>
            <w:r>
              <w:t>Weeks-out</w:t>
            </w:r>
          </w:p>
        </w:tc>
        <w:tc>
          <w:tcPr>
            <w:tcW w:w="0" w:type="auto"/>
            <w:tcBorders>
              <w:bottom w:val="dashed" w:sz="4" w:space="0" w:color="auto"/>
            </w:tcBorders>
            <w:shd w:val="clear" w:color="auto" w:fill="auto"/>
          </w:tcPr>
          <w:p w:rsidR="000E7C87" w:rsidRDefault="00CA333A" w:rsidP="00240E97">
            <w:pPr>
              <w:spacing w:before="0"/>
            </w:pPr>
            <w:r>
              <w:t>wet</w:t>
            </w:r>
          </w:p>
        </w:tc>
        <w:tc>
          <w:tcPr>
            <w:tcW w:w="0" w:type="auto"/>
            <w:tcBorders>
              <w:bottom w:val="dashed" w:sz="4" w:space="0" w:color="auto"/>
            </w:tcBorders>
            <w:shd w:val="clear" w:color="auto" w:fill="auto"/>
          </w:tcPr>
          <w:p w:rsidR="000E7C87" w:rsidRDefault="00CA333A" w:rsidP="00240E97">
            <w:pPr>
              <w:spacing w:before="0"/>
              <w:jc w:val="right"/>
            </w:pPr>
            <w:r>
              <w:t>9.8</w:t>
            </w:r>
          </w:p>
        </w:tc>
        <w:tc>
          <w:tcPr>
            <w:tcW w:w="0" w:type="auto"/>
            <w:tcBorders>
              <w:bottom w:val="dashed" w:sz="4" w:space="0" w:color="auto"/>
            </w:tcBorders>
            <w:shd w:val="clear" w:color="auto" w:fill="auto"/>
          </w:tcPr>
          <w:p w:rsidR="000E7C87" w:rsidRDefault="00CA333A" w:rsidP="00240E97">
            <w:pPr>
              <w:spacing w:before="0"/>
              <w:jc w:val="right"/>
            </w:pPr>
            <w:r>
              <w:t>3.4</w:t>
            </w:r>
          </w:p>
        </w:tc>
        <w:tc>
          <w:tcPr>
            <w:tcW w:w="0" w:type="auto"/>
            <w:tcBorders>
              <w:bottom w:val="dashed" w:sz="4" w:space="0" w:color="auto"/>
            </w:tcBorders>
            <w:shd w:val="clear" w:color="auto" w:fill="auto"/>
          </w:tcPr>
          <w:p w:rsidR="000E7C87" w:rsidRDefault="00CA333A" w:rsidP="00240E97">
            <w:pPr>
              <w:spacing w:before="0"/>
              <w:jc w:val="right"/>
            </w:pPr>
            <w:r>
              <w:t>34.2</w:t>
            </w:r>
          </w:p>
        </w:tc>
      </w:tr>
      <w:tr w:rsidR="000E7C87" w:rsidTr="007F45C9">
        <w:trPr>
          <w:jc w:val="center"/>
        </w:trPr>
        <w:tc>
          <w:tcPr>
            <w:tcW w:w="0" w:type="auto"/>
            <w:tcBorders>
              <w:top w:val="dashed" w:sz="4" w:space="0" w:color="auto"/>
            </w:tcBorders>
            <w:shd w:val="clear" w:color="auto" w:fill="auto"/>
          </w:tcPr>
          <w:p w:rsidR="000E7C87" w:rsidRDefault="00CA333A" w:rsidP="00240E97">
            <w:pPr>
              <w:spacing w:before="0"/>
            </w:pPr>
            <w:r>
              <w:t>Chris-crk</w:t>
            </w:r>
          </w:p>
        </w:tc>
        <w:tc>
          <w:tcPr>
            <w:tcW w:w="0" w:type="auto"/>
            <w:tcBorders>
              <w:top w:val="dashed" w:sz="4" w:space="0" w:color="auto"/>
            </w:tcBorders>
            <w:shd w:val="clear" w:color="auto" w:fill="auto"/>
          </w:tcPr>
          <w:p w:rsidR="000E7C87" w:rsidRDefault="00CA333A" w:rsidP="00240E97">
            <w:pPr>
              <w:spacing w:before="0"/>
            </w:pPr>
            <w:r>
              <w:t>dry</w:t>
            </w:r>
          </w:p>
        </w:tc>
        <w:tc>
          <w:tcPr>
            <w:tcW w:w="0" w:type="auto"/>
            <w:tcBorders>
              <w:top w:val="dashed" w:sz="4" w:space="0" w:color="auto"/>
            </w:tcBorders>
            <w:shd w:val="clear" w:color="auto" w:fill="auto"/>
          </w:tcPr>
          <w:p w:rsidR="000E7C87" w:rsidRDefault="00CA333A" w:rsidP="00240E97">
            <w:pPr>
              <w:spacing w:before="0"/>
              <w:jc w:val="right"/>
            </w:pPr>
            <w:r>
              <w:t>7.2</w:t>
            </w:r>
          </w:p>
        </w:tc>
        <w:tc>
          <w:tcPr>
            <w:tcW w:w="0" w:type="auto"/>
            <w:tcBorders>
              <w:top w:val="dashed" w:sz="4" w:space="0" w:color="auto"/>
            </w:tcBorders>
            <w:shd w:val="clear" w:color="auto" w:fill="auto"/>
          </w:tcPr>
          <w:p w:rsidR="000E7C87" w:rsidRDefault="00CA333A" w:rsidP="00240E97">
            <w:pPr>
              <w:spacing w:before="0"/>
              <w:jc w:val="right"/>
            </w:pPr>
            <w:r>
              <w:t>1.2</w:t>
            </w:r>
          </w:p>
        </w:tc>
        <w:tc>
          <w:tcPr>
            <w:tcW w:w="0" w:type="auto"/>
            <w:tcBorders>
              <w:top w:val="dashed" w:sz="4" w:space="0" w:color="auto"/>
            </w:tcBorders>
            <w:shd w:val="clear" w:color="auto" w:fill="auto"/>
          </w:tcPr>
          <w:p w:rsidR="000E7C87" w:rsidRDefault="00CA333A" w:rsidP="00240E97">
            <w:pPr>
              <w:spacing w:before="0"/>
              <w:jc w:val="right"/>
            </w:pPr>
            <w:r>
              <w:t>16.0</w:t>
            </w:r>
          </w:p>
        </w:tc>
      </w:tr>
      <w:tr w:rsidR="007F45C9" w:rsidTr="007F45C9">
        <w:trPr>
          <w:jc w:val="center"/>
        </w:trPr>
        <w:tc>
          <w:tcPr>
            <w:tcW w:w="0" w:type="auto"/>
            <w:tcBorders>
              <w:bottom w:val="dashed" w:sz="4" w:space="0" w:color="auto"/>
            </w:tcBorders>
            <w:shd w:val="clear" w:color="auto" w:fill="auto"/>
          </w:tcPr>
          <w:p w:rsidR="000E7C87" w:rsidRDefault="00CA333A" w:rsidP="00240E97">
            <w:pPr>
              <w:spacing w:before="0"/>
            </w:pPr>
            <w:r>
              <w:t>Chris-crk</w:t>
            </w:r>
          </w:p>
        </w:tc>
        <w:tc>
          <w:tcPr>
            <w:tcW w:w="0" w:type="auto"/>
            <w:tcBorders>
              <w:bottom w:val="dashed" w:sz="4" w:space="0" w:color="auto"/>
            </w:tcBorders>
            <w:shd w:val="clear" w:color="auto" w:fill="auto"/>
          </w:tcPr>
          <w:p w:rsidR="000E7C87" w:rsidRDefault="00CA333A" w:rsidP="00240E97">
            <w:pPr>
              <w:spacing w:before="0"/>
            </w:pPr>
            <w:r>
              <w:t>wet</w:t>
            </w:r>
          </w:p>
        </w:tc>
        <w:tc>
          <w:tcPr>
            <w:tcW w:w="0" w:type="auto"/>
            <w:tcBorders>
              <w:bottom w:val="dashed" w:sz="4" w:space="0" w:color="auto"/>
            </w:tcBorders>
            <w:shd w:val="clear" w:color="auto" w:fill="auto"/>
          </w:tcPr>
          <w:p w:rsidR="000E7C87" w:rsidRDefault="00CA333A" w:rsidP="00240E97">
            <w:pPr>
              <w:spacing w:before="0"/>
              <w:jc w:val="right"/>
            </w:pPr>
            <w:r>
              <w:t>4.7</w:t>
            </w:r>
          </w:p>
        </w:tc>
        <w:tc>
          <w:tcPr>
            <w:tcW w:w="0" w:type="auto"/>
            <w:tcBorders>
              <w:bottom w:val="dashed" w:sz="4" w:space="0" w:color="auto"/>
            </w:tcBorders>
            <w:shd w:val="clear" w:color="auto" w:fill="auto"/>
          </w:tcPr>
          <w:p w:rsidR="000E7C87" w:rsidRDefault="00CA333A" w:rsidP="00240E97">
            <w:pPr>
              <w:spacing w:before="0"/>
              <w:jc w:val="right"/>
            </w:pPr>
            <w:r>
              <w:t>2.0</w:t>
            </w:r>
          </w:p>
        </w:tc>
        <w:tc>
          <w:tcPr>
            <w:tcW w:w="0" w:type="auto"/>
            <w:tcBorders>
              <w:bottom w:val="dashed" w:sz="4" w:space="0" w:color="auto"/>
            </w:tcBorders>
            <w:shd w:val="clear" w:color="auto" w:fill="auto"/>
          </w:tcPr>
          <w:p w:rsidR="000E7C87" w:rsidRDefault="00CA333A" w:rsidP="00240E97">
            <w:pPr>
              <w:spacing w:before="0"/>
              <w:jc w:val="right"/>
            </w:pPr>
            <w:r>
              <w:t>42.0</w:t>
            </w:r>
          </w:p>
        </w:tc>
      </w:tr>
      <w:tr w:rsidR="000E7C87" w:rsidTr="007F45C9">
        <w:trPr>
          <w:jc w:val="center"/>
        </w:trPr>
        <w:tc>
          <w:tcPr>
            <w:tcW w:w="0" w:type="auto"/>
            <w:tcBorders>
              <w:top w:val="dashed" w:sz="4" w:space="0" w:color="auto"/>
            </w:tcBorders>
            <w:shd w:val="clear" w:color="auto" w:fill="auto"/>
          </w:tcPr>
          <w:p w:rsidR="000E7C87" w:rsidRDefault="00CA333A" w:rsidP="00240E97">
            <w:pPr>
              <w:spacing w:before="0"/>
            </w:pPr>
            <w:r>
              <w:t>Leech-head</w:t>
            </w:r>
          </w:p>
        </w:tc>
        <w:tc>
          <w:tcPr>
            <w:tcW w:w="0" w:type="auto"/>
            <w:tcBorders>
              <w:top w:val="dashed" w:sz="4" w:space="0" w:color="auto"/>
            </w:tcBorders>
            <w:shd w:val="clear" w:color="auto" w:fill="auto"/>
          </w:tcPr>
          <w:p w:rsidR="000E7C87" w:rsidRDefault="00CA333A" w:rsidP="00240E97">
            <w:pPr>
              <w:spacing w:before="0"/>
            </w:pPr>
            <w:r>
              <w:t>dry</w:t>
            </w:r>
          </w:p>
        </w:tc>
        <w:tc>
          <w:tcPr>
            <w:tcW w:w="0" w:type="auto"/>
            <w:tcBorders>
              <w:top w:val="dashed" w:sz="4" w:space="0" w:color="auto"/>
            </w:tcBorders>
            <w:shd w:val="clear" w:color="auto" w:fill="auto"/>
          </w:tcPr>
          <w:p w:rsidR="000E7C87" w:rsidRDefault="00CA333A" w:rsidP="00240E97">
            <w:pPr>
              <w:spacing w:before="0"/>
              <w:jc w:val="right"/>
            </w:pPr>
            <w:r>
              <w:t>7.6</w:t>
            </w:r>
          </w:p>
        </w:tc>
        <w:tc>
          <w:tcPr>
            <w:tcW w:w="0" w:type="auto"/>
            <w:tcBorders>
              <w:top w:val="dashed" w:sz="4" w:space="0" w:color="auto"/>
            </w:tcBorders>
            <w:shd w:val="clear" w:color="auto" w:fill="auto"/>
          </w:tcPr>
          <w:p w:rsidR="000E7C87" w:rsidRDefault="00CA333A" w:rsidP="00240E97">
            <w:pPr>
              <w:spacing w:before="0"/>
              <w:jc w:val="right"/>
            </w:pPr>
            <w:r>
              <w:t>1.9</w:t>
            </w:r>
          </w:p>
        </w:tc>
        <w:tc>
          <w:tcPr>
            <w:tcW w:w="0" w:type="auto"/>
            <w:tcBorders>
              <w:top w:val="dashed" w:sz="4" w:space="0" w:color="auto"/>
            </w:tcBorders>
            <w:shd w:val="clear" w:color="auto" w:fill="auto"/>
          </w:tcPr>
          <w:p w:rsidR="000E7C87" w:rsidRDefault="00CA333A" w:rsidP="00240E97">
            <w:pPr>
              <w:spacing w:before="0"/>
              <w:jc w:val="right"/>
            </w:pPr>
            <w:r>
              <w:t>25.3</w:t>
            </w:r>
          </w:p>
        </w:tc>
      </w:tr>
      <w:tr w:rsidR="007F45C9" w:rsidTr="007F45C9">
        <w:trPr>
          <w:jc w:val="center"/>
        </w:trPr>
        <w:tc>
          <w:tcPr>
            <w:tcW w:w="0" w:type="auto"/>
            <w:tcBorders>
              <w:bottom w:val="dashed" w:sz="4" w:space="0" w:color="auto"/>
            </w:tcBorders>
            <w:shd w:val="clear" w:color="auto" w:fill="auto"/>
          </w:tcPr>
          <w:p w:rsidR="000E7C87" w:rsidRDefault="00CA333A" w:rsidP="00240E97">
            <w:pPr>
              <w:spacing w:before="0"/>
            </w:pPr>
            <w:r>
              <w:t>Leech-head</w:t>
            </w:r>
          </w:p>
        </w:tc>
        <w:tc>
          <w:tcPr>
            <w:tcW w:w="0" w:type="auto"/>
            <w:tcBorders>
              <w:bottom w:val="dashed" w:sz="4" w:space="0" w:color="auto"/>
            </w:tcBorders>
            <w:shd w:val="clear" w:color="auto" w:fill="auto"/>
          </w:tcPr>
          <w:p w:rsidR="000E7C87" w:rsidRDefault="00CA333A" w:rsidP="00240E97">
            <w:pPr>
              <w:spacing w:before="0"/>
            </w:pPr>
            <w:r>
              <w:t>wet</w:t>
            </w:r>
          </w:p>
        </w:tc>
        <w:tc>
          <w:tcPr>
            <w:tcW w:w="0" w:type="auto"/>
            <w:tcBorders>
              <w:bottom w:val="dashed" w:sz="4" w:space="0" w:color="auto"/>
            </w:tcBorders>
            <w:shd w:val="clear" w:color="auto" w:fill="auto"/>
          </w:tcPr>
          <w:p w:rsidR="000E7C87" w:rsidRDefault="00CA333A" w:rsidP="00240E97">
            <w:pPr>
              <w:spacing w:before="0"/>
              <w:jc w:val="right"/>
            </w:pPr>
            <w:r>
              <w:t>7.3</w:t>
            </w:r>
          </w:p>
        </w:tc>
        <w:tc>
          <w:tcPr>
            <w:tcW w:w="0" w:type="auto"/>
            <w:tcBorders>
              <w:bottom w:val="dashed" w:sz="4" w:space="0" w:color="auto"/>
            </w:tcBorders>
            <w:shd w:val="clear" w:color="auto" w:fill="auto"/>
          </w:tcPr>
          <w:p w:rsidR="000E7C87" w:rsidRDefault="00CA333A" w:rsidP="00240E97">
            <w:pPr>
              <w:spacing w:before="0"/>
              <w:jc w:val="right"/>
            </w:pPr>
            <w:r>
              <w:t>1.6</w:t>
            </w:r>
          </w:p>
        </w:tc>
        <w:tc>
          <w:tcPr>
            <w:tcW w:w="0" w:type="auto"/>
            <w:tcBorders>
              <w:bottom w:val="dashed" w:sz="4" w:space="0" w:color="auto"/>
            </w:tcBorders>
            <w:shd w:val="clear" w:color="auto" w:fill="auto"/>
          </w:tcPr>
          <w:p w:rsidR="000E7C87" w:rsidRDefault="00CA333A" w:rsidP="00240E97">
            <w:pPr>
              <w:spacing w:before="0"/>
              <w:jc w:val="right"/>
            </w:pPr>
            <w:r>
              <w:t>21.6</w:t>
            </w:r>
          </w:p>
        </w:tc>
      </w:tr>
      <w:tr w:rsidR="000E7C87" w:rsidTr="007F45C9">
        <w:trPr>
          <w:jc w:val="center"/>
        </w:trPr>
        <w:tc>
          <w:tcPr>
            <w:tcW w:w="0" w:type="auto"/>
            <w:tcBorders>
              <w:top w:val="dashed" w:sz="4" w:space="0" w:color="auto"/>
            </w:tcBorders>
            <w:shd w:val="clear" w:color="auto" w:fill="auto"/>
          </w:tcPr>
          <w:p w:rsidR="000E7C87" w:rsidRDefault="00CA333A" w:rsidP="00240E97">
            <w:pPr>
              <w:spacing w:before="0"/>
            </w:pPr>
            <w:r>
              <w:t>Cragg-crk</w:t>
            </w:r>
          </w:p>
        </w:tc>
        <w:tc>
          <w:tcPr>
            <w:tcW w:w="0" w:type="auto"/>
            <w:tcBorders>
              <w:top w:val="dashed" w:sz="4" w:space="0" w:color="auto"/>
            </w:tcBorders>
            <w:shd w:val="clear" w:color="auto" w:fill="auto"/>
          </w:tcPr>
          <w:p w:rsidR="000E7C87" w:rsidRDefault="00CA333A" w:rsidP="00240E97">
            <w:pPr>
              <w:spacing w:before="0"/>
            </w:pPr>
            <w:r>
              <w:t>dry</w:t>
            </w:r>
          </w:p>
        </w:tc>
        <w:tc>
          <w:tcPr>
            <w:tcW w:w="0" w:type="auto"/>
            <w:tcBorders>
              <w:top w:val="dashed" w:sz="4" w:space="0" w:color="auto"/>
            </w:tcBorders>
            <w:shd w:val="clear" w:color="auto" w:fill="auto"/>
          </w:tcPr>
          <w:p w:rsidR="000E7C87" w:rsidRDefault="00CA333A" w:rsidP="00240E97">
            <w:pPr>
              <w:spacing w:before="0"/>
              <w:jc w:val="right"/>
            </w:pPr>
            <w:r>
              <w:t>5.4</w:t>
            </w:r>
          </w:p>
        </w:tc>
        <w:tc>
          <w:tcPr>
            <w:tcW w:w="0" w:type="auto"/>
            <w:tcBorders>
              <w:top w:val="dashed" w:sz="4" w:space="0" w:color="auto"/>
            </w:tcBorders>
            <w:shd w:val="clear" w:color="auto" w:fill="auto"/>
          </w:tcPr>
          <w:p w:rsidR="000E7C87" w:rsidRDefault="00CA333A" w:rsidP="00240E97">
            <w:pPr>
              <w:spacing w:before="0"/>
              <w:jc w:val="right"/>
            </w:pPr>
            <w:r>
              <w:t>1.5</w:t>
            </w:r>
          </w:p>
        </w:tc>
        <w:tc>
          <w:tcPr>
            <w:tcW w:w="0" w:type="auto"/>
            <w:tcBorders>
              <w:top w:val="dashed" w:sz="4" w:space="0" w:color="auto"/>
            </w:tcBorders>
            <w:shd w:val="clear" w:color="auto" w:fill="auto"/>
          </w:tcPr>
          <w:p w:rsidR="000E7C87" w:rsidRDefault="00CA333A" w:rsidP="00240E97">
            <w:pPr>
              <w:spacing w:before="0"/>
              <w:jc w:val="right"/>
            </w:pPr>
            <w:r>
              <w:t>27.2</w:t>
            </w:r>
          </w:p>
        </w:tc>
      </w:tr>
      <w:tr w:rsidR="007F45C9" w:rsidTr="007F45C9">
        <w:trPr>
          <w:jc w:val="center"/>
        </w:trPr>
        <w:tc>
          <w:tcPr>
            <w:tcW w:w="0" w:type="auto"/>
            <w:tcBorders>
              <w:bottom w:val="dashed" w:sz="4" w:space="0" w:color="auto"/>
            </w:tcBorders>
            <w:shd w:val="clear" w:color="auto" w:fill="auto"/>
          </w:tcPr>
          <w:p w:rsidR="000E7C87" w:rsidRDefault="00CA333A" w:rsidP="00240E97">
            <w:pPr>
              <w:spacing w:before="0"/>
            </w:pPr>
            <w:r>
              <w:t>Cragg-crk</w:t>
            </w:r>
          </w:p>
        </w:tc>
        <w:tc>
          <w:tcPr>
            <w:tcW w:w="0" w:type="auto"/>
            <w:tcBorders>
              <w:bottom w:val="dashed" w:sz="4" w:space="0" w:color="auto"/>
            </w:tcBorders>
            <w:shd w:val="clear" w:color="auto" w:fill="auto"/>
          </w:tcPr>
          <w:p w:rsidR="000E7C87" w:rsidRDefault="00CA333A" w:rsidP="00240E97">
            <w:pPr>
              <w:spacing w:before="0"/>
            </w:pPr>
            <w:r>
              <w:t>wet</w:t>
            </w:r>
          </w:p>
        </w:tc>
        <w:tc>
          <w:tcPr>
            <w:tcW w:w="0" w:type="auto"/>
            <w:tcBorders>
              <w:bottom w:val="dashed" w:sz="4" w:space="0" w:color="auto"/>
            </w:tcBorders>
            <w:shd w:val="clear" w:color="auto" w:fill="auto"/>
          </w:tcPr>
          <w:p w:rsidR="000E7C87" w:rsidRDefault="00CA333A" w:rsidP="00240E97">
            <w:pPr>
              <w:spacing w:before="0"/>
              <w:jc w:val="right"/>
            </w:pPr>
            <w:r>
              <w:t>4.7</w:t>
            </w:r>
          </w:p>
        </w:tc>
        <w:tc>
          <w:tcPr>
            <w:tcW w:w="0" w:type="auto"/>
            <w:tcBorders>
              <w:bottom w:val="dashed" w:sz="4" w:space="0" w:color="auto"/>
            </w:tcBorders>
            <w:shd w:val="clear" w:color="auto" w:fill="auto"/>
          </w:tcPr>
          <w:p w:rsidR="000E7C87" w:rsidRDefault="00CA333A" w:rsidP="00240E97">
            <w:pPr>
              <w:spacing w:before="0"/>
              <w:jc w:val="right"/>
            </w:pPr>
            <w:r>
              <w:t>1.5</w:t>
            </w:r>
          </w:p>
        </w:tc>
        <w:tc>
          <w:tcPr>
            <w:tcW w:w="0" w:type="auto"/>
            <w:tcBorders>
              <w:bottom w:val="dashed" w:sz="4" w:space="0" w:color="auto"/>
            </w:tcBorders>
            <w:shd w:val="clear" w:color="auto" w:fill="auto"/>
          </w:tcPr>
          <w:p w:rsidR="000E7C87" w:rsidRDefault="00CA333A" w:rsidP="00240E97">
            <w:pPr>
              <w:spacing w:before="0"/>
              <w:jc w:val="right"/>
            </w:pPr>
            <w:r>
              <w:t>33.0</w:t>
            </w:r>
          </w:p>
        </w:tc>
      </w:tr>
      <w:tr w:rsidR="000E7C87" w:rsidTr="007F45C9">
        <w:trPr>
          <w:jc w:val="center"/>
        </w:trPr>
        <w:tc>
          <w:tcPr>
            <w:tcW w:w="0" w:type="auto"/>
            <w:tcBorders>
              <w:top w:val="dashed" w:sz="4" w:space="0" w:color="auto"/>
            </w:tcBorders>
            <w:shd w:val="clear" w:color="auto" w:fill="auto"/>
          </w:tcPr>
          <w:p w:rsidR="000E7C87" w:rsidRDefault="00CA333A" w:rsidP="00240E97">
            <w:pPr>
              <w:spacing w:before="0"/>
            </w:pPr>
            <w:r>
              <w:t>West-Leech</w:t>
            </w:r>
          </w:p>
        </w:tc>
        <w:tc>
          <w:tcPr>
            <w:tcW w:w="0" w:type="auto"/>
            <w:tcBorders>
              <w:top w:val="dashed" w:sz="4" w:space="0" w:color="auto"/>
            </w:tcBorders>
            <w:shd w:val="clear" w:color="auto" w:fill="auto"/>
          </w:tcPr>
          <w:p w:rsidR="000E7C87" w:rsidRDefault="00CA333A" w:rsidP="00240E97">
            <w:pPr>
              <w:spacing w:before="0"/>
            </w:pPr>
            <w:r>
              <w:t>dry</w:t>
            </w:r>
          </w:p>
        </w:tc>
        <w:tc>
          <w:tcPr>
            <w:tcW w:w="0" w:type="auto"/>
            <w:tcBorders>
              <w:top w:val="dashed" w:sz="4" w:space="0" w:color="auto"/>
            </w:tcBorders>
            <w:shd w:val="clear" w:color="auto" w:fill="auto"/>
          </w:tcPr>
          <w:p w:rsidR="000E7C87" w:rsidRDefault="00CA333A" w:rsidP="00240E97">
            <w:pPr>
              <w:spacing w:before="0"/>
              <w:jc w:val="right"/>
            </w:pPr>
            <w:r>
              <w:t>7.1</w:t>
            </w:r>
          </w:p>
        </w:tc>
        <w:tc>
          <w:tcPr>
            <w:tcW w:w="0" w:type="auto"/>
            <w:tcBorders>
              <w:top w:val="dashed" w:sz="4" w:space="0" w:color="auto"/>
            </w:tcBorders>
            <w:shd w:val="clear" w:color="auto" w:fill="auto"/>
          </w:tcPr>
          <w:p w:rsidR="000E7C87" w:rsidRDefault="00CA333A" w:rsidP="00240E97">
            <w:pPr>
              <w:spacing w:before="0"/>
              <w:jc w:val="right"/>
            </w:pPr>
            <w:r>
              <w:t>2.1</w:t>
            </w:r>
          </w:p>
        </w:tc>
        <w:tc>
          <w:tcPr>
            <w:tcW w:w="0" w:type="auto"/>
            <w:tcBorders>
              <w:top w:val="dashed" w:sz="4" w:space="0" w:color="auto"/>
            </w:tcBorders>
            <w:shd w:val="clear" w:color="auto" w:fill="auto"/>
          </w:tcPr>
          <w:p w:rsidR="000E7C87" w:rsidRDefault="00CA333A" w:rsidP="00240E97">
            <w:pPr>
              <w:spacing w:before="0"/>
              <w:jc w:val="right"/>
            </w:pPr>
            <w:r>
              <w:t>29.9</w:t>
            </w:r>
          </w:p>
        </w:tc>
      </w:tr>
      <w:tr w:rsidR="007F45C9" w:rsidTr="007F45C9">
        <w:trPr>
          <w:jc w:val="center"/>
        </w:trPr>
        <w:tc>
          <w:tcPr>
            <w:tcW w:w="0" w:type="auto"/>
            <w:tcBorders>
              <w:bottom w:val="dashed" w:sz="4" w:space="0" w:color="auto"/>
            </w:tcBorders>
            <w:shd w:val="clear" w:color="auto" w:fill="auto"/>
          </w:tcPr>
          <w:p w:rsidR="000E7C87" w:rsidRDefault="00CA333A" w:rsidP="00240E97">
            <w:pPr>
              <w:spacing w:before="0"/>
            </w:pPr>
            <w:r>
              <w:t>West-Leech</w:t>
            </w:r>
          </w:p>
        </w:tc>
        <w:tc>
          <w:tcPr>
            <w:tcW w:w="0" w:type="auto"/>
            <w:tcBorders>
              <w:bottom w:val="dashed" w:sz="4" w:space="0" w:color="auto"/>
            </w:tcBorders>
            <w:shd w:val="clear" w:color="auto" w:fill="auto"/>
          </w:tcPr>
          <w:p w:rsidR="000E7C87" w:rsidRDefault="00CA333A" w:rsidP="00240E97">
            <w:pPr>
              <w:spacing w:before="0"/>
            </w:pPr>
            <w:r>
              <w:t>wet</w:t>
            </w:r>
          </w:p>
        </w:tc>
        <w:tc>
          <w:tcPr>
            <w:tcW w:w="0" w:type="auto"/>
            <w:tcBorders>
              <w:bottom w:val="dashed" w:sz="4" w:space="0" w:color="auto"/>
            </w:tcBorders>
            <w:shd w:val="clear" w:color="auto" w:fill="auto"/>
          </w:tcPr>
          <w:p w:rsidR="000E7C87" w:rsidRDefault="00CA333A" w:rsidP="00240E97">
            <w:pPr>
              <w:spacing w:before="0"/>
              <w:jc w:val="right"/>
            </w:pPr>
            <w:r>
              <w:t>5.7</w:t>
            </w:r>
          </w:p>
        </w:tc>
        <w:tc>
          <w:tcPr>
            <w:tcW w:w="0" w:type="auto"/>
            <w:tcBorders>
              <w:bottom w:val="dashed" w:sz="4" w:space="0" w:color="auto"/>
            </w:tcBorders>
            <w:shd w:val="clear" w:color="auto" w:fill="auto"/>
          </w:tcPr>
          <w:p w:rsidR="000E7C87" w:rsidRDefault="00CA333A" w:rsidP="00240E97">
            <w:pPr>
              <w:spacing w:before="0"/>
              <w:jc w:val="right"/>
            </w:pPr>
            <w:r>
              <w:t>2.3</w:t>
            </w:r>
          </w:p>
        </w:tc>
        <w:tc>
          <w:tcPr>
            <w:tcW w:w="0" w:type="auto"/>
            <w:tcBorders>
              <w:bottom w:val="dashed" w:sz="4" w:space="0" w:color="auto"/>
            </w:tcBorders>
            <w:shd w:val="clear" w:color="auto" w:fill="auto"/>
          </w:tcPr>
          <w:p w:rsidR="000E7C87" w:rsidRDefault="00CA333A" w:rsidP="00240E97">
            <w:pPr>
              <w:spacing w:before="0"/>
              <w:jc w:val="right"/>
            </w:pPr>
            <w:r>
              <w:t>40.4</w:t>
            </w:r>
          </w:p>
        </w:tc>
      </w:tr>
      <w:tr w:rsidR="000E7C87" w:rsidTr="007F45C9">
        <w:trPr>
          <w:jc w:val="center"/>
        </w:trPr>
        <w:tc>
          <w:tcPr>
            <w:tcW w:w="0" w:type="auto"/>
            <w:tcBorders>
              <w:top w:val="dashed" w:sz="4" w:space="0" w:color="auto"/>
            </w:tcBorders>
            <w:shd w:val="clear" w:color="auto" w:fill="auto"/>
          </w:tcPr>
          <w:p w:rsidR="000E7C87" w:rsidRDefault="00CA333A" w:rsidP="00240E97">
            <w:pPr>
              <w:spacing w:before="0"/>
            </w:pPr>
            <w:r>
              <w:t>Tunnel</w:t>
            </w:r>
          </w:p>
        </w:tc>
        <w:tc>
          <w:tcPr>
            <w:tcW w:w="0" w:type="auto"/>
            <w:tcBorders>
              <w:top w:val="dashed" w:sz="4" w:space="0" w:color="auto"/>
            </w:tcBorders>
            <w:shd w:val="clear" w:color="auto" w:fill="auto"/>
          </w:tcPr>
          <w:p w:rsidR="000E7C87" w:rsidRDefault="00CA333A" w:rsidP="00240E97">
            <w:pPr>
              <w:spacing w:before="0"/>
            </w:pPr>
            <w:r>
              <w:t>dry</w:t>
            </w:r>
          </w:p>
        </w:tc>
        <w:tc>
          <w:tcPr>
            <w:tcW w:w="0" w:type="auto"/>
            <w:tcBorders>
              <w:top w:val="dashed" w:sz="4" w:space="0" w:color="auto"/>
            </w:tcBorders>
            <w:shd w:val="clear" w:color="auto" w:fill="auto"/>
          </w:tcPr>
          <w:p w:rsidR="000E7C87" w:rsidRDefault="00CA333A" w:rsidP="00240E97">
            <w:pPr>
              <w:spacing w:before="0"/>
              <w:jc w:val="right"/>
            </w:pPr>
            <w:r>
              <w:t>6.6</w:t>
            </w:r>
          </w:p>
        </w:tc>
        <w:tc>
          <w:tcPr>
            <w:tcW w:w="0" w:type="auto"/>
            <w:tcBorders>
              <w:top w:val="dashed" w:sz="4" w:space="0" w:color="auto"/>
            </w:tcBorders>
            <w:shd w:val="clear" w:color="auto" w:fill="auto"/>
          </w:tcPr>
          <w:p w:rsidR="000E7C87" w:rsidRDefault="00CA333A" w:rsidP="00240E97">
            <w:pPr>
              <w:spacing w:before="0"/>
              <w:jc w:val="right"/>
            </w:pPr>
            <w:r>
              <w:t>1.0</w:t>
            </w:r>
          </w:p>
        </w:tc>
        <w:tc>
          <w:tcPr>
            <w:tcW w:w="0" w:type="auto"/>
            <w:tcBorders>
              <w:top w:val="dashed" w:sz="4" w:space="0" w:color="auto"/>
            </w:tcBorders>
            <w:shd w:val="clear" w:color="auto" w:fill="auto"/>
          </w:tcPr>
          <w:p w:rsidR="000E7C87" w:rsidRDefault="00CA333A" w:rsidP="00240E97">
            <w:pPr>
              <w:spacing w:before="0"/>
              <w:jc w:val="right"/>
            </w:pPr>
            <w:r>
              <w:t>15.6</w:t>
            </w:r>
          </w:p>
        </w:tc>
      </w:tr>
      <w:tr w:rsidR="007F45C9" w:rsidTr="007F45C9">
        <w:trPr>
          <w:jc w:val="center"/>
        </w:trPr>
        <w:tc>
          <w:tcPr>
            <w:tcW w:w="0" w:type="auto"/>
            <w:tcBorders>
              <w:bottom w:val="dashed" w:sz="4" w:space="0" w:color="auto"/>
            </w:tcBorders>
            <w:shd w:val="clear" w:color="auto" w:fill="auto"/>
          </w:tcPr>
          <w:p w:rsidR="000E7C87" w:rsidRDefault="00CA333A" w:rsidP="00240E97">
            <w:pPr>
              <w:spacing w:before="0"/>
            </w:pPr>
            <w:r>
              <w:t>Tunnel</w:t>
            </w:r>
          </w:p>
        </w:tc>
        <w:tc>
          <w:tcPr>
            <w:tcW w:w="0" w:type="auto"/>
            <w:tcBorders>
              <w:bottom w:val="dashed" w:sz="4" w:space="0" w:color="auto"/>
            </w:tcBorders>
            <w:shd w:val="clear" w:color="auto" w:fill="auto"/>
          </w:tcPr>
          <w:p w:rsidR="000E7C87" w:rsidRDefault="00CA333A" w:rsidP="00240E97">
            <w:pPr>
              <w:spacing w:before="0"/>
            </w:pPr>
            <w:r>
              <w:t>wet</w:t>
            </w:r>
          </w:p>
        </w:tc>
        <w:tc>
          <w:tcPr>
            <w:tcW w:w="0" w:type="auto"/>
            <w:tcBorders>
              <w:bottom w:val="dashed" w:sz="4" w:space="0" w:color="auto"/>
            </w:tcBorders>
            <w:shd w:val="clear" w:color="auto" w:fill="auto"/>
          </w:tcPr>
          <w:p w:rsidR="000E7C87" w:rsidRDefault="00CA333A" w:rsidP="00240E97">
            <w:pPr>
              <w:spacing w:before="0"/>
              <w:jc w:val="right"/>
            </w:pPr>
            <w:r>
              <w:t>4.5</w:t>
            </w:r>
          </w:p>
        </w:tc>
        <w:tc>
          <w:tcPr>
            <w:tcW w:w="0" w:type="auto"/>
            <w:tcBorders>
              <w:bottom w:val="dashed" w:sz="4" w:space="0" w:color="auto"/>
            </w:tcBorders>
            <w:shd w:val="clear" w:color="auto" w:fill="auto"/>
          </w:tcPr>
          <w:p w:rsidR="000E7C87" w:rsidRDefault="00CA333A" w:rsidP="00240E97">
            <w:pPr>
              <w:spacing w:before="0"/>
              <w:jc w:val="right"/>
            </w:pPr>
            <w:r>
              <w:t>1.7</w:t>
            </w:r>
          </w:p>
        </w:tc>
        <w:tc>
          <w:tcPr>
            <w:tcW w:w="0" w:type="auto"/>
            <w:tcBorders>
              <w:bottom w:val="dashed" w:sz="4" w:space="0" w:color="auto"/>
            </w:tcBorders>
            <w:shd w:val="clear" w:color="auto" w:fill="auto"/>
          </w:tcPr>
          <w:p w:rsidR="000E7C87" w:rsidRDefault="00CA333A" w:rsidP="00240E97">
            <w:pPr>
              <w:spacing w:before="0"/>
              <w:jc w:val="right"/>
            </w:pPr>
            <w:r>
              <w:t>38.7</w:t>
            </w:r>
          </w:p>
        </w:tc>
      </w:tr>
    </w:tbl>
    <w:p w:rsidR="000E7C87" w:rsidRDefault="00CA333A" w:rsidP="007F45C9">
      <w:pPr>
        <w:jc w:val="center"/>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table%20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E7C87" w:rsidRDefault="00CA333A">
      <w:r>
        <w:lastRenderedPageBreak/>
        <w:t>To remove the variance of stormflow DOC concentrations, Table 2-B and Figure 9 shows seasonal concentrations based only on Grab samples (excludes 166 stormflow samples collected by Racks).</w:t>
      </w:r>
    </w:p>
    <w:tbl>
      <w:tblPr>
        <w:tblW w:w="0" w:type="pct"/>
        <w:jc w:val="center"/>
        <w:tblLook w:val="07E0" w:firstRow="1" w:lastRow="1" w:firstColumn="1" w:lastColumn="1" w:noHBand="1" w:noVBand="1"/>
      </w:tblPr>
      <w:tblGrid>
        <w:gridCol w:w="1456"/>
        <w:gridCol w:w="614"/>
        <w:gridCol w:w="2256"/>
        <w:gridCol w:w="2180"/>
        <w:gridCol w:w="1136"/>
      </w:tblGrid>
      <w:tr w:rsidR="000E7C87" w:rsidTr="007F45C9">
        <w:trPr>
          <w:jc w:val="center"/>
        </w:trPr>
        <w:tc>
          <w:tcPr>
            <w:tcW w:w="0" w:type="auto"/>
            <w:tcBorders>
              <w:bottom w:val="single" w:sz="0" w:space="0" w:color="auto"/>
            </w:tcBorders>
            <w:vAlign w:val="bottom"/>
          </w:tcPr>
          <w:p w:rsidR="000E7C87" w:rsidRPr="007F45C9" w:rsidRDefault="00CA333A" w:rsidP="007F45C9">
            <w:pPr>
              <w:spacing w:before="0"/>
              <w:rPr>
                <w:b/>
                <w:bCs/>
              </w:rPr>
            </w:pPr>
            <w:r w:rsidRPr="007F45C9">
              <w:rPr>
                <w:b/>
                <w:bCs/>
              </w:rPr>
              <w:t>season</w:t>
            </w:r>
          </w:p>
        </w:tc>
        <w:tc>
          <w:tcPr>
            <w:tcW w:w="0" w:type="auto"/>
            <w:tcBorders>
              <w:bottom w:val="single" w:sz="0" w:space="0" w:color="auto"/>
            </w:tcBorders>
            <w:vAlign w:val="bottom"/>
          </w:tcPr>
          <w:p w:rsidR="000E7C87" w:rsidRPr="007F45C9" w:rsidRDefault="00CA333A" w:rsidP="007F45C9">
            <w:pPr>
              <w:spacing w:before="0"/>
              <w:rPr>
                <w:b/>
                <w:bCs/>
              </w:rPr>
            </w:pPr>
            <w:r w:rsidRPr="007F45C9">
              <w:rPr>
                <w:b/>
                <w:bCs/>
              </w:rPr>
              <w:t>site</w:t>
            </w:r>
          </w:p>
        </w:tc>
        <w:tc>
          <w:tcPr>
            <w:tcW w:w="0" w:type="auto"/>
            <w:tcBorders>
              <w:bottom w:val="single" w:sz="0" w:space="0" w:color="auto"/>
            </w:tcBorders>
            <w:vAlign w:val="bottom"/>
          </w:tcPr>
          <w:p w:rsidR="000E7C87" w:rsidRPr="007F45C9" w:rsidRDefault="00CA333A" w:rsidP="007F45C9">
            <w:pPr>
              <w:spacing w:before="0"/>
              <w:jc w:val="right"/>
              <w:rPr>
                <w:b/>
                <w:bCs/>
              </w:rPr>
            </w:pPr>
            <w:r w:rsidRPr="007F45C9">
              <w:rPr>
                <w:b/>
                <w:bCs/>
              </w:rPr>
              <w:t>mean DOC (mg/L)</w:t>
            </w:r>
          </w:p>
        </w:tc>
        <w:tc>
          <w:tcPr>
            <w:tcW w:w="0" w:type="auto"/>
            <w:tcBorders>
              <w:bottom w:val="single" w:sz="0" w:space="0" w:color="auto"/>
            </w:tcBorders>
            <w:vAlign w:val="bottom"/>
          </w:tcPr>
          <w:p w:rsidR="000E7C87" w:rsidRPr="007F45C9" w:rsidRDefault="00CA333A" w:rsidP="007F45C9">
            <w:pPr>
              <w:spacing w:before="0"/>
              <w:jc w:val="right"/>
              <w:rPr>
                <w:b/>
                <w:bCs/>
              </w:rPr>
            </w:pPr>
            <w:r w:rsidRPr="007F45C9">
              <w:rPr>
                <w:b/>
                <w:bCs/>
              </w:rPr>
              <w:t>std.dev. (± mg/L)</w:t>
            </w:r>
          </w:p>
        </w:tc>
        <w:tc>
          <w:tcPr>
            <w:tcW w:w="0" w:type="auto"/>
            <w:tcBorders>
              <w:bottom w:val="single" w:sz="0" w:space="0" w:color="auto"/>
            </w:tcBorders>
            <w:vAlign w:val="bottom"/>
          </w:tcPr>
          <w:p w:rsidR="000E7C87" w:rsidRPr="007F45C9" w:rsidRDefault="00CA333A" w:rsidP="007F45C9">
            <w:pPr>
              <w:spacing w:before="0"/>
              <w:jc w:val="right"/>
              <w:rPr>
                <w:b/>
                <w:bCs/>
              </w:rPr>
            </w:pPr>
            <w:r w:rsidRPr="007F45C9">
              <w:rPr>
                <w:b/>
                <w:bCs/>
              </w:rPr>
              <w:t>RSD (%)</w:t>
            </w:r>
          </w:p>
        </w:tc>
      </w:tr>
      <w:tr w:rsidR="000E7C87" w:rsidTr="007F45C9">
        <w:trPr>
          <w:jc w:val="center"/>
        </w:trPr>
        <w:tc>
          <w:tcPr>
            <w:tcW w:w="0" w:type="auto"/>
          </w:tcPr>
          <w:p w:rsidR="000E7C87" w:rsidRDefault="00CA333A" w:rsidP="007F45C9">
            <w:pPr>
              <w:spacing w:before="0"/>
            </w:pPr>
            <w:r>
              <w:t>Weeks-out</w:t>
            </w:r>
          </w:p>
        </w:tc>
        <w:tc>
          <w:tcPr>
            <w:tcW w:w="0" w:type="auto"/>
          </w:tcPr>
          <w:p w:rsidR="000E7C87" w:rsidRDefault="00CA333A" w:rsidP="007F45C9">
            <w:pPr>
              <w:spacing w:before="0"/>
            </w:pPr>
            <w:r>
              <w:t>dry</w:t>
            </w:r>
          </w:p>
        </w:tc>
        <w:tc>
          <w:tcPr>
            <w:tcW w:w="0" w:type="auto"/>
          </w:tcPr>
          <w:p w:rsidR="000E7C87" w:rsidRDefault="00CA333A" w:rsidP="007F45C9">
            <w:pPr>
              <w:spacing w:before="0"/>
              <w:jc w:val="right"/>
            </w:pPr>
            <w:r>
              <w:t>12.7</w:t>
            </w:r>
          </w:p>
        </w:tc>
        <w:tc>
          <w:tcPr>
            <w:tcW w:w="0" w:type="auto"/>
          </w:tcPr>
          <w:p w:rsidR="000E7C87" w:rsidRDefault="00CA333A" w:rsidP="007F45C9">
            <w:pPr>
              <w:spacing w:before="0"/>
              <w:jc w:val="right"/>
            </w:pPr>
            <w:r>
              <w:t>3.4</w:t>
            </w:r>
          </w:p>
        </w:tc>
        <w:tc>
          <w:tcPr>
            <w:tcW w:w="0" w:type="auto"/>
          </w:tcPr>
          <w:p w:rsidR="000E7C87" w:rsidRDefault="00CA333A" w:rsidP="007F45C9">
            <w:pPr>
              <w:spacing w:before="0"/>
              <w:jc w:val="right"/>
            </w:pPr>
            <w:r>
              <w:t>26.6</w:t>
            </w:r>
          </w:p>
        </w:tc>
      </w:tr>
      <w:tr w:rsidR="000E7C87" w:rsidTr="007F45C9">
        <w:trPr>
          <w:jc w:val="center"/>
        </w:trPr>
        <w:tc>
          <w:tcPr>
            <w:tcW w:w="0" w:type="auto"/>
            <w:tcBorders>
              <w:bottom w:val="dashed" w:sz="4" w:space="0" w:color="auto"/>
            </w:tcBorders>
          </w:tcPr>
          <w:p w:rsidR="000E7C87" w:rsidRDefault="00CA333A" w:rsidP="007F45C9">
            <w:pPr>
              <w:spacing w:before="0"/>
            </w:pPr>
            <w:r>
              <w:t>Weeks-out</w:t>
            </w:r>
          </w:p>
        </w:tc>
        <w:tc>
          <w:tcPr>
            <w:tcW w:w="0" w:type="auto"/>
            <w:tcBorders>
              <w:bottom w:val="dashed" w:sz="4" w:space="0" w:color="auto"/>
            </w:tcBorders>
          </w:tcPr>
          <w:p w:rsidR="000E7C87" w:rsidRDefault="00CA333A" w:rsidP="007F45C9">
            <w:pPr>
              <w:spacing w:before="0"/>
            </w:pPr>
            <w:r>
              <w:t>wet</w:t>
            </w:r>
          </w:p>
        </w:tc>
        <w:tc>
          <w:tcPr>
            <w:tcW w:w="0" w:type="auto"/>
            <w:tcBorders>
              <w:bottom w:val="dashed" w:sz="4" w:space="0" w:color="auto"/>
            </w:tcBorders>
          </w:tcPr>
          <w:p w:rsidR="000E7C87" w:rsidRDefault="00CA333A" w:rsidP="007F45C9">
            <w:pPr>
              <w:spacing w:before="0"/>
              <w:jc w:val="right"/>
            </w:pPr>
            <w:r>
              <w:t>9.3</w:t>
            </w:r>
          </w:p>
        </w:tc>
        <w:tc>
          <w:tcPr>
            <w:tcW w:w="0" w:type="auto"/>
            <w:tcBorders>
              <w:bottom w:val="dashed" w:sz="4" w:space="0" w:color="auto"/>
            </w:tcBorders>
          </w:tcPr>
          <w:p w:rsidR="000E7C87" w:rsidRDefault="00CA333A" w:rsidP="007F45C9">
            <w:pPr>
              <w:spacing w:before="0"/>
              <w:jc w:val="right"/>
            </w:pPr>
            <w:r>
              <w:t>2.4</w:t>
            </w:r>
          </w:p>
        </w:tc>
        <w:tc>
          <w:tcPr>
            <w:tcW w:w="0" w:type="auto"/>
            <w:tcBorders>
              <w:bottom w:val="dashed" w:sz="4" w:space="0" w:color="auto"/>
            </w:tcBorders>
          </w:tcPr>
          <w:p w:rsidR="000E7C87" w:rsidRDefault="00CA333A" w:rsidP="007F45C9">
            <w:pPr>
              <w:spacing w:before="0"/>
              <w:jc w:val="right"/>
            </w:pPr>
            <w:r>
              <w:t>25.4</w:t>
            </w:r>
          </w:p>
        </w:tc>
      </w:tr>
      <w:tr w:rsidR="000E7C87" w:rsidTr="007F45C9">
        <w:trPr>
          <w:jc w:val="center"/>
        </w:trPr>
        <w:tc>
          <w:tcPr>
            <w:tcW w:w="0" w:type="auto"/>
            <w:tcBorders>
              <w:top w:val="dashed" w:sz="4" w:space="0" w:color="auto"/>
            </w:tcBorders>
          </w:tcPr>
          <w:p w:rsidR="000E7C87" w:rsidRDefault="00CA333A" w:rsidP="007F45C9">
            <w:pPr>
              <w:spacing w:before="0"/>
            </w:pPr>
            <w:r>
              <w:t>Chris-crk</w:t>
            </w:r>
          </w:p>
        </w:tc>
        <w:tc>
          <w:tcPr>
            <w:tcW w:w="0" w:type="auto"/>
            <w:tcBorders>
              <w:top w:val="dashed" w:sz="4" w:space="0" w:color="auto"/>
            </w:tcBorders>
          </w:tcPr>
          <w:p w:rsidR="000E7C87" w:rsidRDefault="00CA333A" w:rsidP="007F45C9">
            <w:pPr>
              <w:spacing w:before="0"/>
            </w:pPr>
            <w:r>
              <w:t>dry</w:t>
            </w:r>
          </w:p>
        </w:tc>
        <w:tc>
          <w:tcPr>
            <w:tcW w:w="0" w:type="auto"/>
            <w:tcBorders>
              <w:top w:val="dashed" w:sz="4" w:space="0" w:color="auto"/>
            </w:tcBorders>
          </w:tcPr>
          <w:p w:rsidR="000E7C87" w:rsidRDefault="00CA333A" w:rsidP="007F45C9">
            <w:pPr>
              <w:spacing w:before="0"/>
              <w:jc w:val="right"/>
            </w:pPr>
            <w:r>
              <w:t>7.2</w:t>
            </w:r>
          </w:p>
        </w:tc>
        <w:tc>
          <w:tcPr>
            <w:tcW w:w="0" w:type="auto"/>
            <w:tcBorders>
              <w:top w:val="dashed" w:sz="4" w:space="0" w:color="auto"/>
            </w:tcBorders>
          </w:tcPr>
          <w:p w:rsidR="000E7C87" w:rsidRDefault="00CA333A" w:rsidP="007F45C9">
            <w:pPr>
              <w:spacing w:before="0"/>
              <w:jc w:val="right"/>
            </w:pPr>
            <w:r>
              <w:t>1.2</w:t>
            </w:r>
          </w:p>
        </w:tc>
        <w:tc>
          <w:tcPr>
            <w:tcW w:w="0" w:type="auto"/>
            <w:tcBorders>
              <w:top w:val="dashed" w:sz="4" w:space="0" w:color="auto"/>
            </w:tcBorders>
          </w:tcPr>
          <w:p w:rsidR="000E7C87" w:rsidRDefault="00CA333A" w:rsidP="007F45C9">
            <w:pPr>
              <w:spacing w:before="0"/>
              <w:jc w:val="right"/>
            </w:pPr>
            <w:r>
              <w:t>16.0</w:t>
            </w:r>
          </w:p>
        </w:tc>
      </w:tr>
      <w:tr w:rsidR="000E7C87" w:rsidTr="007F45C9">
        <w:trPr>
          <w:jc w:val="center"/>
        </w:trPr>
        <w:tc>
          <w:tcPr>
            <w:tcW w:w="0" w:type="auto"/>
            <w:tcBorders>
              <w:bottom w:val="dashed" w:sz="4" w:space="0" w:color="auto"/>
            </w:tcBorders>
          </w:tcPr>
          <w:p w:rsidR="000E7C87" w:rsidRDefault="00CA333A" w:rsidP="007F45C9">
            <w:pPr>
              <w:spacing w:before="0"/>
            </w:pPr>
            <w:r>
              <w:t>Chris-crk</w:t>
            </w:r>
          </w:p>
        </w:tc>
        <w:tc>
          <w:tcPr>
            <w:tcW w:w="0" w:type="auto"/>
            <w:tcBorders>
              <w:bottom w:val="dashed" w:sz="4" w:space="0" w:color="auto"/>
            </w:tcBorders>
          </w:tcPr>
          <w:p w:rsidR="000E7C87" w:rsidRDefault="00CA333A" w:rsidP="007F45C9">
            <w:pPr>
              <w:spacing w:before="0"/>
            </w:pPr>
            <w:r>
              <w:t>wet</w:t>
            </w:r>
          </w:p>
        </w:tc>
        <w:tc>
          <w:tcPr>
            <w:tcW w:w="0" w:type="auto"/>
            <w:tcBorders>
              <w:bottom w:val="dashed" w:sz="4" w:space="0" w:color="auto"/>
            </w:tcBorders>
          </w:tcPr>
          <w:p w:rsidR="000E7C87" w:rsidRDefault="00CA333A" w:rsidP="007F45C9">
            <w:pPr>
              <w:spacing w:before="0"/>
              <w:jc w:val="right"/>
            </w:pPr>
            <w:r>
              <w:t>3.3</w:t>
            </w:r>
          </w:p>
        </w:tc>
        <w:tc>
          <w:tcPr>
            <w:tcW w:w="0" w:type="auto"/>
            <w:tcBorders>
              <w:bottom w:val="dashed" w:sz="4" w:space="0" w:color="auto"/>
            </w:tcBorders>
          </w:tcPr>
          <w:p w:rsidR="000E7C87" w:rsidRDefault="00CA333A" w:rsidP="007F45C9">
            <w:pPr>
              <w:spacing w:before="0"/>
              <w:jc w:val="right"/>
            </w:pPr>
            <w:r>
              <w:t>1.3</w:t>
            </w:r>
          </w:p>
        </w:tc>
        <w:tc>
          <w:tcPr>
            <w:tcW w:w="0" w:type="auto"/>
            <w:tcBorders>
              <w:bottom w:val="dashed" w:sz="4" w:space="0" w:color="auto"/>
            </w:tcBorders>
          </w:tcPr>
          <w:p w:rsidR="000E7C87" w:rsidRDefault="00CA333A" w:rsidP="007F45C9">
            <w:pPr>
              <w:spacing w:before="0"/>
              <w:jc w:val="right"/>
            </w:pPr>
            <w:r>
              <w:t>39.9</w:t>
            </w:r>
          </w:p>
        </w:tc>
      </w:tr>
      <w:tr w:rsidR="000E7C87" w:rsidTr="007F45C9">
        <w:trPr>
          <w:jc w:val="center"/>
        </w:trPr>
        <w:tc>
          <w:tcPr>
            <w:tcW w:w="0" w:type="auto"/>
            <w:tcBorders>
              <w:top w:val="dashed" w:sz="4" w:space="0" w:color="auto"/>
            </w:tcBorders>
          </w:tcPr>
          <w:p w:rsidR="000E7C87" w:rsidRDefault="00CA333A" w:rsidP="007F45C9">
            <w:pPr>
              <w:spacing w:before="0"/>
            </w:pPr>
            <w:r>
              <w:t>Leech-head</w:t>
            </w:r>
          </w:p>
        </w:tc>
        <w:tc>
          <w:tcPr>
            <w:tcW w:w="0" w:type="auto"/>
            <w:tcBorders>
              <w:top w:val="dashed" w:sz="4" w:space="0" w:color="auto"/>
            </w:tcBorders>
          </w:tcPr>
          <w:p w:rsidR="000E7C87" w:rsidRDefault="00CA333A" w:rsidP="007F45C9">
            <w:pPr>
              <w:spacing w:before="0"/>
            </w:pPr>
            <w:r>
              <w:t>dry</w:t>
            </w:r>
          </w:p>
        </w:tc>
        <w:tc>
          <w:tcPr>
            <w:tcW w:w="0" w:type="auto"/>
            <w:tcBorders>
              <w:top w:val="dashed" w:sz="4" w:space="0" w:color="auto"/>
            </w:tcBorders>
          </w:tcPr>
          <w:p w:rsidR="000E7C87" w:rsidRDefault="00CA333A" w:rsidP="007F45C9">
            <w:pPr>
              <w:spacing w:before="0"/>
              <w:jc w:val="right"/>
            </w:pPr>
            <w:r>
              <w:t>7.3</w:t>
            </w:r>
          </w:p>
        </w:tc>
        <w:tc>
          <w:tcPr>
            <w:tcW w:w="0" w:type="auto"/>
            <w:tcBorders>
              <w:top w:val="dashed" w:sz="4" w:space="0" w:color="auto"/>
            </w:tcBorders>
          </w:tcPr>
          <w:p w:rsidR="000E7C87" w:rsidRDefault="00CA333A" w:rsidP="007F45C9">
            <w:pPr>
              <w:spacing w:before="0"/>
              <w:jc w:val="right"/>
            </w:pPr>
            <w:r>
              <w:t>1.9</w:t>
            </w:r>
          </w:p>
        </w:tc>
        <w:tc>
          <w:tcPr>
            <w:tcW w:w="0" w:type="auto"/>
            <w:tcBorders>
              <w:top w:val="dashed" w:sz="4" w:space="0" w:color="auto"/>
            </w:tcBorders>
          </w:tcPr>
          <w:p w:rsidR="000E7C87" w:rsidRDefault="00CA333A" w:rsidP="007F45C9">
            <w:pPr>
              <w:spacing w:before="0"/>
              <w:jc w:val="right"/>
            </w:pPr>
            <w:r>
              <w:t>26.5</w:t>
            </w:r>
          </w:p>
        </w:tc>
      </w:tr>
      <w:tr w:rsidR="000E7C87" w:rsidTr="007F45C9">
        <w:trPr>
          <w:jc w:val="center"/>
        </w:trPr>
        <w:tc>
          <w:tcPr>
            <w:tcW w:w="0" w:type="auto"/>
            <w:tcBorders>
              <w:bottom w:val="dashed" w:sz="4" w:space="0" w:color="auto"/>
            </w:tcBorders>
          </w:tcPr>
          <w:p w:rsidR="000E7C87" w:rsidRDefault="00CA333A" w:rsidP="007F45C9">
            <w:pPr>
              <w:spacing w:before="0"/>
            </w:pPr>
            <w:r>
              <w:t>Leech-head</w:t>
            </w:r>
          </w:p>
        </w:tc>
        <w:tc>
          <w:tcPr>
            <w:tcW w:w="0" w:type="auto"/>
            <w:tcBorders>
              <w:bottom w:val="dashed" w:sz="4" w:space="0" w:color="auto"/>
            </w:tcBorders>
          </w:tcPr>
          <w:p w:rsidR="000E7C87" w:rsidRDefault="00CA333A" w:rsidP="007F45C9">
            <w:pPr>
              <w:spacing w:before="0"/>
            </w:pPr>
            <w:r>
              <w:t>wet</w:t>
            </w:r>
          </w:p>
        </w:tc>
        <w:tc>
          <w:tcPr>
            <w:tcW w:w="0" w:type="auto"/>
            <w:tcBorders>
              <w:bottom w:val="dashed" w:sz="4" w:space="0" w:color="auto"/>
            </w:tcBorders>
          </w:tcPr>
          <w:p w:rsidR="000E7C87" w:rsidRDefault="00CA333A" w:rsidP="007F45C9">
            <w:pPr>
              <w:spacing w:before="0"/>
              <w:jc w:val="right"/>
            </w:pPr>
            <w:r>
              <w:t>6.6</w:t>
            </w:r>
          </w:p>
        </w:tc>
        <w:tc>
          <w:tcPr>
            <w:tcW w:w="0" w:type="auto"/>
            <w:tcBorders>
              <w:bottom w:val="dashed" w:sz="4" w:space="0" w:color="auto"/>
            </w:tcBorders>
          </w:tcPr>
          <w:p w:rsidR="000E7C87" w:rsidRDefault="00CA333A" w:rsidP="007F45C9">
            <w:pPr>
              <w:spacing w:before="0"/>
              <w:jc w:val="right"/>
            </w:pPr>
            <w:r>
              <w:t>1.5</w:t>
            </w:r>
          </w:p>
        </w:tc>
        <w:tc>
          <w:tcPr>
            <w:tcW w:w="0" w:type="auto"/>
            <w:tcBorders>
              <w:bottom w:val="dashed" w:sz="4" w:space="0" w:color="auto"/>
            </w:tcBorders>
          </w:tcPr>
          <w:p w:rsidR="000E7C87" w:rsidRDefault="00CA333A" w:rsidP="007F45C9">
            <w:pPr>
              <w:spacing w:before="0"/>
              <w:jc w:val="right"/>
            </w:pPr>
            <w:r>
              <w:t>22.2</w:t>
            </w:r>
          </w:p>
        </w:tc>
      </w:tr>
      <w:tr w:rsidR="000E7C87" w:rsidTr="007F45C9">
        <w:trPr>
          <w:jc w:val="center"/>
        </w:trPr>
        <w:tc>
          <w:tcPr>
            <w:tcW w:w="0" w:type="auto"/>
            <w:tcBorders>
              <w:top w:val="dashed" w:sz="4" w:space="0" w:color="auto"/>
            </w:tcBorders>
          </w:tcPr>
          <w:p w:rsidR="000E7C87" w:rsidRDefault="00CA333A" w:rsidP="007F45C9">
            <w:pPr>
              <w:spacing w:before="0"/>
            </w:pPr>
            <w:r>
              <w:t>Cragg-crk</w:t>
            </w:r>
          </w:p>
        </w:tc>
        <w:tc>
          <w:tcPr>
            <w:tcW w:w="0" w:type="auto"/>
            <w:tcBorders>
              <w:top w:val="dashed" w:sz="4" w:space="0" w:color="auto"/>
            </w:tcBorders>
          </w:tcPr>
          <w:p w:rsidR="000E7C87" w:rsidRDefault="00CA333A" w:rsidP="007F45C9">
            <w:pPr>
              <w:spacing w:before="0"/>
            </w:pPr>
            <w:r>
              <w:t>dry</w:t>
            </w:r>
          </w:p>
        </w:tc>
        <w:tc>
          <w:tcPr>
            <w:tcW w:w="0" w:type="auto"/>
            <w:tcBorders>
              <w:top w:val="dashed" w:sz="4" w:space="0" w:color="auto"/>
            </w:tcBorders>
          </w:tcPr>
          <w:p w:rsidR="000E7C87" w:rsidRDefault="00CA333A" w:rsidP="007F45C9">
            <w:pPr>
              <w:spacing w:before="0"/>
              <w:jc w:val="right"/>
            </w:pPr>
            <w:r>
              <w:t>5.4</w:t>
            </w:r>
          </w:p>
        </w:tc>
        <w:tc>
          <w:tcPr>
            <w:tcW w:w="0" w:type="auto"/>
            <w:tcBorders>
              <w:top w:val="dashed" w:sz="4" w:space="0" w:color="auto"/>
            </w:tcBorders>
          </w:tcPr>
          <w:p w:rsidR="000E7C87" w:rsidRDefault="00CA333A" w:rsidP="007F45C9">
            <w:pPr>
              <w:spacing w:before="0"/>
              <w:jc w:val="right"/>
            </w:pPr>
            <w:r>
              <w:t>1.5</w:t>
            </w:r>
          </w:p>
        </w:tc>
        <w:tc>
          <w:tcPr>
            <w:tcW w:w="0" w:type="auto"/>
            <w:tcBorders>
              <w:top w:val="dashed" w:sz="4" w:space="0" w:color="auto"/>
            </w:tcBorders>
          </w:tcPr>
          <w:p w:rsidR="000E7C87" w:rsidRDefault="00CA333A" w:rsidP="007F45C9">
            <w:pPr>
              <w:spacing w:before="0"/>
              <w:jc w:val="right"/>
            </w:pPr>
            <w:r>
              <w:t>27.2</w:t>
            </w:r>
          </w:p>
        </w:tc>
      </w:tr>
      <w:tr w:rsidR="000E7C87" w:rsidTr="007F45C9">
        <w:trPr>
          <w:jc w:val="center"/>
        </w:trPr>
        <w:tc>
          <w:tcPr>
            <w:tcW w:w="0" w:type="auto"/>
            <w:tcBorders>
              <w:bottom w:val="dashed" w:sz="4" w:space="0" w:color="auto"/>
            </w:tcBorders>
          </w:tcPr>
          <w:p w:rsidR="000E7C87" w:rsidRDefault="00CA333A" w:rsidP="007F45C9">
            <w:pPr>
              <w:spacing w:before="0"/>
            </w:pPr>
            <w:r>
              <w:t>Cragg-crk</w:t>
            </w:r>
          </w:p>
        </w:tc>
        <w:tc>
          <w:tcPr>
            <w:tcW w:w="0" w:type="auto"/>
            <w:tcBorders>
              <w:bottom w:val="dashed" w:sz="4" w:space="0" w:color="auto"/>
            </w:tcBorders>
          </w:tcPr>
          <w:p w:rsidR="000E7C87" w:rsidRDefault="00CA333A" w:rsidP="007F45C9">
            <w:pPr>
              <w:spacing w:before="0"/>
            </w:pPr>
            <w:r>
              <w:t>wet</w:t>
            </w:r>
          </w:p>
        </w:tc>
        <w:tc>
          <w:tcPr>
            <w:tcW w:w="0" w:type="auto"/>
            <w:tcBorders>
              <w:bottom w:val="dashed" w:sz="4" w:space="0" w:color="auto"/>
            </w:tcBorders>
          </w:tcPr>
          <w:p w:rsidR="000E7C87" w:rsidRDefault="00CA333A" w:rsidP="007F45C9">
            <w:pPr>
              <w:spacing w:before="0"/>
              <w:jc w:val="right"/>
            </w:pPr>
            <w:r>
              <w:t>3.8</w:t>
            </w:r>
          </w:p>
        </w:tc>
        <w:tc>
          <w:tcPr>
            <w:tcW w:w="0" w:type="auto"/>
            <w:tcBorders>
              <w:bottom w:val="dashed" w:sz="4" w:space="0" w:color="auto"/>
            </w:tcBorders>
          </w:tcPr>
          <w:p w:rsidR="000E7C87" w:rsidRDefault="00CA333A" w:rsidP="007F45C9">
            <w:pPr>
              <w:spacing w:before="0"/>
              <w:jc w:val="right"/>
            </w:pPr>
            <w:r>
              <w:t>1.1</w:t>
            </w:r>
          </w:p>
        </w:tc>
        <w:tc>
          <w:tcPr>
            <w:tcW w:w="0" w:type="auto"/>
            <w:tcBorders>
              <w:bottom w:val="dashed" w:sz="4" w:space="0" w:color="auto"/>
            </w:tcBorders>
          </w:tcPr>
          <w:p w:rsidR="000E7C87" w:rsidRDefault="00CA333A" w:rsidP="007F45C9">
            <w:pPr>
              <w:spacing w:before="0"/>
              <w:jc w:val="right"/>
            </w:pPr>
            <w:r>
              <w:t>27.8</w:t>
            </w:r>
          </w:p>
        </w:tc>
      </w:tr>
      <w:tr w:rsidR="000E7C87" w:rsidTr="007F45C9">
        <w:trPr>
          <w:jc w:val="center"/>
        </w:trPr>
        <w:tc>
          <w:tcPr>
            <w:tcW w:w="0" w:type="auto"/>
            <w:tcBorders>
              <w:top w:val="dashed" w:sz="4" w:space="0" w:color="auto"/>
            </w:tcBorders>
          </w:tcPr>
          <w:p w:rsidR="000E7C87" w:rsidRDefault="00CA333A" w:rsidP="007F45C9">
            <w:pPr>
              <w:spacing w:before="0"/>
            </w:pPr>
            <w:r>
              <w:t>West-Leech</w:t>
            </w:r>
          </w:p>
        </w:tc>
        <w:tc>
          <w:tcPr>
            <w:tcW w:w="0" w:type="auto"/>
            <w:tcBorders>
              <w:top w:val="dashed" w:sz="4" w:space="0" w:color="auto"/>
            </w:tcBorders>
          </w:tcPr>
          <w:p w:rsidR="000E7C87" w:rsidRDefault="00CA333A" w:rsidP="007F45C9">
            <w:pPr>
              <w:spacing w:before="0"/>
            </w:pPr>
            <w:r>
              <w:t>dry</w:t>
            </w:r>
          </w:p>
        </w:tc>
        <w:tc>
          <w:tcPr>
            <w:tcW w:w="0" w:type="auto"/>
            <w:tcBorders>
              <w:top w:val="dashed" w:sz="4" w:space="0" w:color="auto"/>
            </w:tcBorders>
          </w:tcPr>
          <w:p w:rsidR="000E7C87" w:rsidRDefault="00CA333A" w:rsidP="007F45C9">
            <w:pPr>
              <w:spacing w:before="0"/>
              <w:jc w:val="right"/>
            </w:pPr>
            <w:r>
              <w:t>6.3</w:t>
            </w:r>
          </w:p>
        </w:tc>
        <w:tc>
          <w:tcPr>
            <w:tcW w:w="0" w:type="auto"/>
            <w:tcBorders>
              <w:top w:val="dashed" w:sz="4" w:space="0" w:color="auto"/>
            </w:tcBorders>
          </w:tcPr>
          <w:p w:rsidR="000E7C87" w:rsidRDefault="00CA333A" w:rsidP="007F45C9">
            <w:pPr>
              <w:spacing w:before="0"/>
              <w:jc w:val="right"/>
            </w:pPr>
            <w:r>
              <w:t>1.7</w:t>
            </w:r>
          </w:p>
        </w:tc>
        <w:tc>
          <w:tcPr>
            <w:tcW w:w="0" w:type="auto"/>
            <w:tcBorders>
              <w:top w:val="dashed" w:sz="4" w:space="0" w:color="auto"/>
            </w:tcBorders>
          </w:tcPr>
          <w:p w:rsidR="000E7C87" w:rsidRDefault="00CA333A" w:rsidP="007F45C9">
            <w:pPr>
              <w:spacing w:before="0"/>
              <w:jc w:val="right"/>
            </w:pPr>
            <w:r>
              <w:t>26.6</w:t>
            </w:r>
          </w:p>
        </w:tc>
      </w:tr>
      <w:tr w:rsidR="000E7C87" w:rsidTr="007F45C9">
        <w:trPr>
          <w:jc w:val="center"/>
        </w:trPr>
        <w:tc>
          <w:tcPr>
            <w:tcW w:w="0" w:type="auto"/>
            <w:tcBorders>
              <w:bottom w:val="dashed" w:sz="4" w:space="0" w:color="auto"/>
            </w:tcBorders>
          </w:tcPr>
          <w:p w:rsidR="000E7C87" w:rsidRDefault="00CA333A" w:rsidP="007F45C9">
            <w:pPr>
              <w:spacing w:before="0"/>
            </w:pPr>
            <w:r>
              <w:t>West-Leech</w:t>
            </w:r>
          </w:p>
        </w:tc>
        <w:tc>
          <w:tcPr>
            <w:tcW w:w="0" w:type="auto"/>
            <w:tcBorders>
              <w:bottom w:val="dashed" w:sz="4" w:space="0" w:color="auto"/>
            </w:tcBorders>
          </w:tcPr>
          <w:p w:rsidR="000E7C87" w:rsidRDefault="00CA333A" w:rsidP="007F45C9">
            <w:pPr>
              <w:spacing w:before="0"/>
            </w:pPr>
            <w:r>
              <w:t>wet</w:t>
            </w:r>
          </w:p>
        </w:tc>
        <w:tc>
          <w:tcPr>
            <w:tcW w:w="0" w:type="auto"/>
            <w:tcBorders>
              <w:bottom w:val="dashed" w:sz="4" w:space="0" w:color="auto"/>
            </w:tcBorders>
          </w:tcPr>
          <w:p w:rsidR="000E7C87" w:rsidRDefault="00CA333A" w:rsidP="007F45C9">
            <w:pPr>
              <w:spacing w:before="0"/>
              <w:jc w:val="right"/>
            </w:pPr>
            <w:r>
              <w:t>3.8</w:t>
            </w:r>
          </w:p>
        </w:tc>
        <w:tc>
          <w:tcPr>
            <w:tcW w:w="0" w:type="auto"/>
            <w:tcBorders>
              <w:bottom w:val="dashed" w:sz="4" w:space="0" w:color="auto"/>
            </w:tcBorders>
          </w:tcPr>
          <w:p w:rsidR="000E7C87" w:rsidRDefault="00CA333A" w:rsidP="007F45C9">
            <w:pPr>
              <w:spacing w:before="0"/>
              <w:jc w:val="right"/>
            </w:pPr>
            <w:r>
              <w:t>1.2</w:t>
            </w:r>
          </w:p>
        </w:tc>
        <w:tc>
          <w:tcPr>
            <w:tcW w:w="0" w:type="auto"/>
            <w:tcBorders>
              <w:bottom w:val="dashed" w:sz="4" w:space="0" w:color="auto"/>
            </w:tcBorders>
          </w:tcPr>
          <w:p w:rsidR="000E7C87" w:rsidRDefault="00CA333A" w:rsidP="007F45C9">
            <w:pPr>
              <w:spacing w:before="0"/>
              <w:jc w:val="right"/>
            </w:pPr>
            <w:r>
              <w:t>31.5</w:t>
            </w:r>
          </w:p>
        </w:tc>
      </w:tr>
      <w:tr w:rsidR="000E7C87" w:rsidTr="007F45C9">
        <w:trPr>
          <w:jc w:val="center"/>
        </w:trPr>
        <w:tc>
          <w:tcPr>
            <w:tcW w:w="0" w:type="auto"/>
            <w:tcBorders>
              <w:top w:val="dashed" w:sz="4" w:space="0" w:color="auto"/>
            </w:tcBorders>
          </w:tcPr>
          <w:p w:rsidR="000E7C87" w:rsidRDefault="00CA333A" w:rsidP="007F45C9">
            <w:pPr>
              <w:spacing w:before="0"/>
            </w:pPr>
            <w:r>
              <w:t>Tunnel</w:t>
            </w:r>
          </w:p>
        </w:tc>
        <w:tc>
          <w:tcPr>
            <w:tcW w:w="0" w:type="auto"/>
            <w:tcBorders>
              <w:top w:val="dashed" w:sz="4" w:space="0" w:color="auto"/>
            </w:tcBorders>
          </w:tcPr>
          <w:p w:rsidR="000E7C87" w:rsidRDefault="00CA333A" w:rsidP="007F45C9">
            <w:pPr>
              <w:spacing w:before="0"/>
            </w:pPr>
            <w:r>
              <w:t>dry</w:t>
            </w:r>
          </w:p>
        </w:tc>
        <w:tc>
          <w:tcPr>
            <w:tcW w:w="0" w:type="auto"/>
            <w:tcBorders>
              <w:top w:val="dashed" w:sz="4" w:space="0" w:color="auto"/>
            </w:tcBorders>
          </w:tcPr>
          <w:p w:rsidR="000E7C87" w:rsidRDefault="00CA333A" w:rsidP="007F45C9">
            <w:pPr>
              <w:spacing w:before="0"/>
              <w:jc w:val="right"/>
            </w:pPr>
            <w:r>
              <w:t>6.6</w:t>
            </w:r>
          </w:p>
        </w:tc>
        <w:tc>
          <w:tcPr>
            <w:tcW w:w="0" w:type="auto"/>
            <w:tcBorders>
              <w:top w:val="dashed" w:sz="4" w:space="0" w:color="auto"/>
            </w:tcBorders>
          </w:tcPr>
          <w:p w:rsidR="000E7C87" w:rsidRDefault="00CA333A" w:rsidP="007F45C9">
            <w:pPr>
              <w:spacing w:before="0"/>
              <w:jc w:val="right"/>
            </w:pPr>
            <w:r>
              <w:t>1.0</w:t>
            </w:r>
          </w:p>
        </w:tc>
        <w:tc>
          <w:tcPr>
            <w:tcW w:w="0" w:type="auto"/>
            <w:tcBorders>
              <w:top w:val="dashed" w:sz="4" w:space="0" w:color="auto"/>
            </w:tcBorders>
          </w:tcPr>
          <w:p w:rsidR="000E7C87" w:rsidRDefault="00CA333A" w:rsidP="007F45C9">
            <w:pPr>
              <w:spacing w:before="0"/>
              <w:jc w:val="right"/>
            </w:pPr>
            <w:r>
              <w:t>15.6</w:t>
            </w:r>
          </w:p>
        </w:tc>
      </w:tr>
      <w:tr w:rsidR="000E7C87" w:rsidTr="007F45C9">
        <w:trPr>
          <w:jc w:val="center"/>
        </w:trPr>
        <w:tc>
          <w:tcPr>
            <w:tcW w:w="0" w:type="auto"/>
            <w:tcBorders>
              <w:bottom w:val="dashed" w:sz="4" w:space="0" w:color="auto"/>
            </w:tcBorders>
          </w:tcPr>
          <w:p w:rsidR="000E7C87" w:rsidRDefault="00CA333A" w:rsidP="007F45C9">
            <w:pPr>
              <w:spacing w:before="0"/>
            </w:pPr>
            <w:r>
              <w:t>Tunnel</w:t>
            </w:r>
          </w:p>
        </w:tc>
        <w:tc>
          <w:tcPr>
            <w:tcW w:w="0" w:type="auto"/>
            <w:tcBorders>
              <w:bottom w:val="dashed" w:sz="4" w:space="0" w:color="auto"/>
            </w:tcBorders>
          </w:tcPr>
          <w:p w:rsidR="000E7C87" w:rsidRDefault="00CA333A" w:rsidP="007F45C9">
            <w:pPr>
              <w:spacing w:before="0"/>
            </w:pPr>
            <w:r>
              <w:t>wet</w:t>
            </w:r>
          </w:p>
        </w:tc>
        <w:tc>
          <w:tcPr>
            <w:tcW w:w="0" w:type="auto"/>
            <w:tcBorders>
              <w:bottom w:val="dashed" w:sz="4" w:space="0" w:color="auto"/>
            </w:tcBorders>
          </w:tcPr>
          <w:p w:rsidR="000E7C87" w:rsidRDefault="00CA333A" w:rsidP="007F45C9">
            <w:pPr>
              <w:spacing w:before="0"/>
              <w:jc w:val="right"/>
            </w:pPr>
            <w:r>
              <w:t>3.6</w:t>
            </w:r>
          </w:p>
        </w:tc>
        <w:tc>
          <w:tcPr>
            <w:tcW w:w="0" w:type="auto"/>
            <w:tcBorders>
              <w:bottom w:val="dashed" w:sz="4" w:space="0" w:color="auto"/>
            </w:tcBorders>
          </w:tcPr>
          <w:p w:rsidR="000E7C87" w:rsidRDefault="00CA333A" w:rsidP="007F45C9">
            <w:pPr>
              <w:spacing w:before="0"/>
              <w:jc w:val="right"/>
            </w:pPr>
            <w:r>
              <w:t>1.3</w:t>
            </w:r>
          </w:p>
        </w:tc>
        <w:tc>
          <w:tcPr>
            <w:tcW w:w="0" w:type="auto"/>
            <w:tcBorders>
              <w:bottom w:val="dashed" w:sz="4" w:space="0" w:color="auto"/>
            </w:tcBorders>
          </w:tcPr>
          <w:p w:rsidR="000E7C87" w:rsidRDefault="00CA333A" w:rsidP="007F45C9">
            <w:pPr>
              <w:spacing w:before="0"/>
              <w:jc w:val="right"/>
            </w:pPr>
            <w:r>
              <w:t>35.6</w:t>
            </w:r>
          </w:p>
        </w:tc>
      </w:tr>
    </w:tbl>
    <w:p w:rsidR="000E7C87" w:rsidRDefault="00CA333A" w:rsidP="007F45C9">
      <w:pPr>
        <w:jc w:val="center"/>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table%202-B-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E7C87" w:rsidRDefault="00CA333A">
      <w:pPr>
        <w:pStyle w:val="Heading3"/>
      </w:pPr>
      <w:bookmarkStart w:id="9" w:name="plots-of-doc-proxy"/>
      <w:r>
        <w:lastRenderedPageBreak/>
        <w:t>Plots of DOC &amp; proxy</w:t>
      </w:r>
      <w:bookmarkEnd w:id="9"/>
    </w:p>
    <w:p w:rsidR="000E7C87" w:rsidRDefault="00CA333A">
      <w:r>
        <w:t>DOC was quantified as non-purgeable organic carbon (NPOC) on the Shimadzu TOC auto analyzer, and samples were also measured on a Spectrolyser spectrophotometer. A spectrophotometer can only measure the fraction of organic matter that is able to absorb UV o</w:t>
      </w:r>
      <w:r>
        <w:t>r Visible light, and therefore DOC measured on the Spectrolyser was a measure of CDOM and an indicator of aromaticity (molecular character).</w:t>
      </w:r>
    </w:p>
    <w:p w:rsidR="000E7C87" w:rsidRDefault="00CA333A">
      <w:r>
        <w:t>Figure 6 shows results from all samples comparing DOC concentrations (as NPOC, direct measure) to CDOM concentratio</w:t>
      </w:r>
      <w:r>
        <w:t>ns (UV-Vis, proxy measure of DOC). There was a strong seasonal separation of the relationship between these two measurements. These results indicate a seasonally-driven physiochemical difference in the aquatic NOM in this drinking water supply area.</w:t>
      </w:r>
    </w:p>
    <w:p w:rsidR="000E7C87" w:rsidRDefault="00CA333A">
      <w:r>
        <w:rPr>
          <w:noProof/>
        </w:rPr>
        <w:drawing>
          <wp:inline distT="0" distB="0" distL="0" distR="0">
            <wp:extent cx="5943600" cy="424542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vs%20CDOM-1.png"/>
                    <pic:cNvPicPr>
                      <a:picLocks noChangeAspect="1" noChangeArrowheads="1"/>
                    </pic:cNvPicPr>
                  </pic:nvPicPr>
                  <pic:blipFill>
                    <a:blip r:embed="rId15"/>
                    <a:stretch>
                      <a:fillRect/>
                    </a:stretch>
                  </pic:blipFill>
                  <pic:spPr bwMode="auto">
                    <a:xfrm>
                      <a:off x="0" y="0"/>
                      <a:ext cx="5943600" cy="4245428"/>
                    </a:xfrm>
                    <a:prstGeom prst="rect">
                      <a:avLst/>
                    </a:prstGeom>
                    <a:noFill/>
                    <a:ln w="9525">
                      <a:noFill/>
                      <a:headEnd/>
                      <a:tailEnd/>
                    </a:ln>
                  </pic:spPr>
                </pic:pic>
              </a:graphicData>
            </a:graphic>
          </wp:inline>
        </w:drawing>
      </w:r>
    </w:p>
    <w:p w:rsidR="000E7C87" w:rsidRDefault="00CA333A">
      <w:r>
        <w:t>Figu</w:t>
      </w:r>
      <w:r>
        <w:t>re 7 shows the same DOC-CDOM comparison from Figure 6, isolated to the six sub-basin monitoring sites. The seasonal relationship appears similar for the six sites.</w:t>
      </w:r>
    </w:p>
    <w:p w:rsidR="000E7C87" w:rsidRDefault="00CA333A">
      <w:r>
        <w:rPr>
          <w:noProof/>
        </w:rPr>
        <w:lastRenderedPageBreak/>
        <w:drawing>
          <wp:inline distT="0" distB="0" distL="0" distR="0">
            <wp:extent cx="5943600" cy="4457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vs%20CDOM%20at%206%20sites-1.png"/>
                    <pic:cNvPicPr>
                      <a:picLocks noChangeAspect="1" noChangeArrowheads="1"/>
                    </pic:cNvPicPr>
                  </pic:nvPicPr>
                  <pic:blipFill>
                    <a:blip r:embed="rId16"/>
                    <a:stretch>
                      <a:fillRect/>
                    </a:stretch>
                  </pic:blipFill>
                  <pic:spPr bwMode="auto">
                    <a:xfrm>
                      <a:off x="0" y="0"/>
                      <a:ext cx="5943600" cy="4457700"/>
                    </a:xfrm>
                    <a:prstGeom prst="rect">
                      <a:avLst/>
                    </a:prstGeom>
                    <a:noFill/>
                    <a:ln w="9525">
                      <a:noFill/>
                      <a:headEnd/>
                      <a:tailEnd/>
                    </a:ln>
                  </pic:spPr>
                </pic:pic>
              </a:graphicData>
            </a:graphic>
          </wp:inline>
        </w:drawing>
      </w:r>
    </w:p>
    <w:p w:rsidR="007F45C9" w:rsidRDefault="007F45C9"/>
    <w:p w:rsidR="007F45C9" w:rsidRDefault="007F45C9"/>
    <w:p w:rsidR="000E7C87" w:rsidRDefault="00CA333A">
      <w:r>
        <w:t>In progress: analysis of spectral fingerprint data for slope ratio indices, which will hel</w:t>
      </w:r>
      <w:r>
        <w:t>p to elucidate seasonal DOM character shifts.</w:t>
      </w:r>
    </w:p>
    <w:p w:rsidR="000E7C87" w:rsidRDefault="00CA333A">
      <w:pPr>
        <w:pStyle w:val="Heading1"/>
      </w:pPr>
      <w:bookmarkStart w:id="10" w:name="references"/>
      <w:r>
        <w:lastRenderedPageBreak/>
        <w:t>References</w:t>
      </w:r>
      <w:bookmarkEnd w:id="10"/>
    </w:p>
    <w:p w:rsidR="000E7C87" w:rsidRPr="00811BE8" w:rsidRDefault="00CA333A">
      <w:pPr>
        <w:pStyle w:val="Bibliography"/>
        <w:rPr>
          <w:sz w:val="22"/>
          <w:szCs w:val="22"/>
        </w:rPr>
      </w:pPr>
      <w:bookmarkStart w:id="11" w:name="ref-BC2019"/>
      <w:bookmarkStart w:id="12" w:name="refs"/>
      <w:r w:rsidRPr="00811BE8">
        <w:rPr>
          <w:sz w:val="22"/>
          <w:szCs w:val="22"/>
        </w:rPr>
        <w:t xml:space="preserve">British Columbia Ministry of Environment. 2017. “Source Drinking Water Quality Guidelines: Guideline Summary.” Victoria, B.C.: Prov. B.C. </w:t>
      </w:r>
      <w:hyperlink r:id="rId17">
        <w:r w:rsidRPr="00811BE8">
          <w:rPr>
            <w:rStyle w:val="Hyperlink"/>
            <w:sz w:val="22"/>
            <w:szCs w:val="22"/>
          </w:rPr>
          <w:t>https://www2.gov.bc.ca/gov/content/governments/organizational-structure/ministries-organizations/ministries/environment-climate-change</w:t>
        </w:r>
      </w:hyperlink>
      <w:r w:rsidRPr="00811BE8">
        <w:rPr>
          <w:sz w:val="22"/>
          <w:szCs w:val="22"/>
        </w:rPr>
        <w:t>.</w:t>
      </w:r>
    </w:p>
    <w:p w:rsidR="000E7C87" w:rsidRPr="00811BE8" w:rsidRDefault="00CA333A">
      <w:pPr>
        <w:pStyle w:val="Bibliography"/>
        <w:rPr>
          <w:sz w:val="22"/>
          <w:szCs w:val="22"/>
        </w:rPr>
      </w:pPr>
      <w:bookmarkStart w:id="13" w:name="ref-Delpla2016"/>
      <w:bookmarkEnd w:id="11"/>
      <w:r w:rsidRPr="00811BE8">
        <w:rPr>
          <w:sz w:val="22"/>
          <w:szCs w:val="22"/>
        </w:rPr>
        <w:t>Delpla, Ianis, and Manuel J</w:t>
      </w:r>
      <w:r w:rsidRPr="00811BE8">
        <w:rPr>
          <w:sz w:val="22"/>
          <w:szCs w:val="22"/>
        </w:rPr>
        <w:t xml:space="preserve">. Rodriguez. 2016. “Experimental disinfection by-product formation potential following rainfall events.” </w:t>
      </w:r>
      <w:r w:rsidRPr="00811BE8">
        <w:rPr>
          <w:i/>
          <w:sz w:val="22"/>
          <w:szCs w:val="22"/>
        </w:rPr>
        <w:t>Water Research</w:t>
      </w:r>
      <w:r w:rsidRPr="00811BE8">
        <w:rPr>
          <w:sz w:val="22"/>
          <w:szCs w:val="22"/>
        </w:rPr>
        <w:t xml:space="preserve"> 104: 340–48. </w:t>
      </w:r>
      <w:hyperlink r:id="rId18">
        <w:r w:rsidRPr="00811BE8">
          <w:rPr>
            <w:rStyle w:val="Hyperlink"/>
            <w:sz w:val="22"/>
            <w:szCs w:val="22"/>
          </w:rPr>
          <w:t>https://doi.org/10.1016/j.watres.2016.08.031</w:t>
        </w:r>
      </w:hyperlink>
      <w:r w:rsidRPr="00811BE8">
        <w:rPr>
          <w:sz w:val="22"/>
          <w:szCs w:val="22"/>
        </w:rPr>
        <w:t>.</w:t>
      </w:r>
    </w:p>
    <w:p w:rsidR="000E7C87" w:rsidRPr="00811BE8" w:rsidRDefault="00CA333A">
      <w:pPr>
        <w:pStyle w:val="Bibliography"/>
        <w:rPr>
          <w:sz w:val="22"/>
          <w:szCs w:val="22"/>
        </w:rPr>
      </w:pPr>
      <w:bookmarkStart w:id="14" w:name="ref-Dudley2003"/>
      <w:bookmarkEnd w:id="13"/>
      <w:r w:rsidRPr="00811BE8">
        <w:rPr>
          <w:sz w:val="22"/>
          <w:szCs w:val="22"/>
        </w:rPr>
        <w:t>Dudley, N, an</w:t>
      </w:r>
      <w:r w:rsidRPr="00811BE8">
        <w:rPr>
          <w:sz w:val="22"/>
          <w:szCs w:val="22"/>
        </w:rPr>
        <w:t xml:space="preserve">d S Stolton. 2003. “Running Pure: The importance of forest protected areas to drinking water.” World Bank / WWF Alliance for Forest Conservation; Sustainable Use. </w:t>
      </w:r>
      <w:hyperlink r:id="rId19" w:anchor="}1">
        <w:r w:rsidRPr="00811BE8">
          <w:rPr>
            <w:rStyle w:val="Hyperlink"/>
            <w:sz w:val="22"/>
            <w:szCs w:val="22"/>
          </w:rPr>
          <w:t>http://scholar.google.com/scholar?hl=en{\&amp;}btnG=Search{\&amp;}q=intitle:Running+Pure{\#}1</w:t>
        </w:r>
      </w:hyperlink>
      <w:r w:rsidRPr="00811BE8">
        <w:rPr>
          <w:sz w:val="22"/>
          <w:szCs w:val="22"/>
        </w:rPr>
        <w:t>.</w:t>
      </w:r>
    </w:p>
    <w:p w:rsidR="000E7C87" w:rsidRPr="00811BE8" w:rsidRDefault="00CA333A">
      <w:pPr>
        <w:pStyle w:val="Bibliography"/>
        <w:rPr>
          <w:sz w:val="22"/>
          <w:szCs w:val="22"/>
        </w:rPr>
      </w:pPr>
      <w:bookmarkStart w:id="15" w:name="ref-StdMet2000"/>
      <w:bookmarkEnd w:id="14"/>
      <w:r w:rsidRPr="00811BE8">
        <w:rPr>
          <w:sz w:val="22"/>
          <w:szCs w:val="22"/>
        </w:rPr>
        <w:t xml:space="preserve">Eaton, A. D., Clesceri, L. S., Greenberg, A. E., Franson, M. A. H. 2000. “Total Organic Carbon (TOC) - 5310 A.” In </w:t>
      </w:r>
      <w:r w:rsidRPr="00811BE8">
        <w:rPr>
          <w:i/>
          <w:sz w:val="22"/>
          <w:szCs w:val="22"/>
        </w:rPr>
        <w:t>Standard Methods for the Examinati</w:t>
      </w:r>
      <w:r w:rsidRPr="00811BE8">
        <w:rPr>
          <w:i/>
          <w:sz w:val="22"/>
          <w:szCs w:val="22"/>
        </w:rPr>
        <w:t>on of Water and Wastewater</w:t>
      </w:r>
      <w:r w:rsidRPr="00811BE8">
        <w:rPr>
          <w:sz w:val="22"/>
          <w:szCs w:val="22"/>
        </w:rPr>
        <w:t xml:space="preserve">, 6th ed., 19–20. Washington, DC: American Public Health Association. </w:t>
      </w:r>
      <w:hyperlink r:id="rId20">
        <w:r w:rsidRPr="00811BE8">
          <w:rPr>
            <w:rStyle w:val="Hyperlink"/>
            <w:sz w:val="22"/>
            <w:szCs w:val="22"/>
          </w:rPr>
          <w:t>http://www.standardmethods.org/</w:t>
        </w:r>
      </w:hyperlink>
      <w:r w:rsidRPr="00811BE8">
        <w:rPr>
          <w:sz w:val="22"/>
          <w:szCs w:val="22"/>
        </w:rPr>
        <w:t>.</w:t>
      </w:r>
    </w:p>
    <w:p w:rsidR="000E7C87" w:rsidRPr="00811BE8" w:rsidRDefault="00CA333A">
      <w:pPr>
        <w:pStyle w:val="Bibliography"/>
        <w:rPr>
          <w:sz w:val="22"/>
          <w:szCs w:val="22"/>
        </w:rPr>
      </w:pPr>
      <w:bookmarkStart w:id="16" w:name="ref-HealthCanada2019"/>
      <w:bookmarkEnd w:id="15"/>
      <w:r w:rsidRPr="00811BE8">
        <w:rPr>
          <w:sz w:val="22"/>
          <w:szCs w:val="22"/>
        </w:rPr>
        <w:t>Health Canada. 2019. “Guidance on Natural Organic Matter in Drinking Water.”</w:t>
      </w:r>
      <w:r w:rsidRPr="00811BE8">
        <w:rPr>
          <w:sz w:val="22"/>
          <w:szCs w:val="22"/>
        </w:rPr>
        <w:t xml:space="preserve"> </w:t>
      </w:r>
      <w:hyperlink r:id="rId21">
        <w:r w:rsidRPr="00811BE8">
          <w:rPr>
            <w:rStyle w:val="Hyperlink"/>
            <w:sz w:val="22"/>
            <w:szCs w:val="22"/>
          </w:rPr>
          <w:t>https://www.canada.ca/content/dam/hc-sc/documents/programs/consultation-organic-matter-drinking-water/NOM20190129-</w:t>
        </w:r>
        <w:r w:rsidRPr="00811BE8">
          <w:rPr>
            <w:rStyle w:val="Hyperlink"/>
            <w:sz w:val="22"/>
            <w:szCs w:val="22"/>
          </w:rPr>
          <w:t>eng.pdf</w:t>
        </w:r>
      </w:hyperlink>
      <w:r w:rsidRPr="00811BE8">
        <w:rPr>
          <w:sz w:val="22"/>
          <w:szCs w:val="22"/>
        </w:rPr>
        <w:t>.</w:t>
      </w:r>
    </w:p>
    <w:p w:rsidR="000E7C87" w:rsidRPr="00811BE8" w:rsidRDefault="00CA333A">
      <w:pPr>
        <w:pStyle w:val="Bibliography"/>
        <w:rPr>
          <w:sz w:val="22"/>
          <w:szCs w:val="22"/>
        </w:rPr>
      </w:pPr>
      <w:bookmarkStart w:id="17" w:name="ref-HealthCanada2006"/>
      <w:bookmarkEnd w:id="16"/>
      <w:r w:rsidRPr="00811BE8">
        <w:rPr>
          <w:sz w:val="22"/>
          <w:szCs w:val="22"/>
        </w:rPr>
        <w:t xml:space="preserve">HealthCanada. 2006. “Drinking Water Chlorination.” </w:t>
      </w:r>
      <w:hyperlink r:id="rId22">
        <w:r w:rsidRPr="00811BE8">
          <w:rPr>
            <w:rStyle w:val="Hyperlink"/>
            <w:sz w:val="22"/>
            <w:szCs w:val="22"/>
          </w:rPr>
          <w:t>https://www.canada.ca/en/health-canada/services/healthy-living/your-health/environment/drinking-water-chlorination.html</w:t>
        </w:r>
      </w:hyperlink>
      <w:r w:rsidRPr="00811BE8">
        <w:rPr>
          <w:sz w:val="22"/>
          <w:szCs w:val="22"/>
        </w:rPr>
        <w:t>.</w:t>
      </w:r>
    </w:p>
    <w:p w:rsidR="000E7C87" w:rsidRPr="00811BE8" w:rsidRDefault="00CA333A">
      <w:pPr>
        <w:pStyle w:val="Bibliography"/>
        <w:rPr>
          <w:sz w:val="22"/>
          <w:szCs w:val="22"/>
        </w:rPr>
      </w:pPr>
      <w:bookmarkStart w:id="18" w:name="ref-Helms2008"/>
      <w:bookmarkEnd w:id="17"/>
      <w:r w:rsidRPr="00811BE8">
        <w:rPr>
          <w:sz w:val="22"/>
          <w:szCs w:val="22"/>
        </w:rPr>
        <w:t>Helms, John R, Avon Stubbins, Jason D Ritchie, Elizabeth C Minor, and Kenneth Mopper. 2008. “Absorption Spectral Slopes and Slope Ratio</w:t>
      </w:r>
      <w:r w:rsidRPr="00811BE8">
        <w:rPr>
          <w:sz w:val="22"/>
          <w:szCs w:val="22"/>
        </w:rPr>
        <w:t xml:space="preserve">s as Indicators of Molecular Weight , Source , and Photobleaching of Chromophoric Dissolved Organic Matter Author ( s ): John R . Helms , Aron Stubbins , Jason D . Ritchie , Elizabeth C . Minor , David J . Kieber.” </w:t>
      </w:r>
      <w:r w:rsidRPr="00811BE8">
        <w:rPr>
          <w:i/>
          <w:sz w:val="22"/>
          <w:szCs w:val="22"/>
        </w:rPr>
        <w:t>Limnology and Oceanography</w:t>
      </w:r>
      <w:r w:rsidRPr="00811BE8">
        <w:rPr>
          <w:sz w:val="22"/>
          <w:szCs w:val="22"/>
        </w:rPr>
        <w:t xml:space="preserve"> 53 (3): 955–69</w:t>
      </w:r>
      <w:r w:rsidRPr="00811BE8">
        <w:rPr>
          <w:sz w:val="22"/>
          <w:szCs w:val="22"/>
        </w:rPr>
        <w:t xml:space="preserve">. </w:t>
      </w:r>
      <w:hyperlink r:id="rId23">
        <w:r w:rsidRPr="00811BE8">
          <w:rPr>
            <w:rStyle w:val="Hyperlink"/>
            <w:sz w:val="22"/>
            <w:szCs w:val="22"/>
          </w:rPr>
          <w:t>https://www.jstor.org/stable/40058211</w:t>
        </w:r>
      </w:hyperlink>
      <w:r w:rsidRPr="00811BE8">
        <w:rPr>
          <w:sz w:val="22"/>
          <w:szCs w:val="22"/>
        </w:rPr>
        <w:t>.</w:t>
      </w:r>
    </w:p>
    <w:p w:rsidR="000E7C87" w:rsidRPr="00811BE8" w:rsidRDefault="00CA333A">
      <w:pPr>
        <w:pStyle w:val="Bibliography"/>
        <w:rPr>
          <w:sz w:val="22"/>
          <w:szCs w:val="22"/>
        </w:rPr>
      </w:pPr>
      <w:bookmarkStart w:id="19" w:name="ref-Hua2015"/>
      <w:bookmarkEnd w:id="18"/>
      <w:r w:rsidRPr="00811BE8">
        <w:rPr>
          <w:sz w:val="22"/>
          <w:szCs w:val="22"/>
        </w:rPr>
        <w:t>Hua, Guanghui, David A. Reckhow, and Ibrahim Abusallout. 2015. “Correlation between SUVA and DBP formation during chlorination and chloramination of NOM fract</w:t>
      </w:r>
      <w:r w:rsidRPr="00811BE8">
        <w:rPr>
          <w:sz w:val="22"/>
          <w:szCs w:val="22"/>
        </w:rPr>
        <w:t xml:space="preserve">ions from different sources.” </w:t>
      </w:r>
      <w:r w:rsidRPr="00811BE8">
        <w:rPr>
          <w:i/>
          <w:sz w:val="22"/>
          <w:szCs w:val="22"/>
        </w:rPr>
        <w:t>Chemosphere</w:t>
      </w:r>
      <w:r w:rsidRPr="00811BE8">
        <w:rPr>
          <w:sz w:val="22"/>
          <w:szCs w:val="22"/>
        </w:rPr>
        <w:t xml:space="preserve"> 130: 82–89. </w:t>
      </w:r>
      <w:hyperlink r:id="rId24">
        <w:r w:rsidRPr="00811BE8">
          <w:rPr>
            <w:rStyle w:val="Hyperlink"/>
            <w:sz w:val="22"/>
            <w:szCs w:val="22"/>
          </w:rPr>
          <w:t>https://doi.org/10.1016/j.chemosphere.2015.03.039</w:t>
        </w:r>
      </w:hyperlink>
      <w:r w:rsidRPr="00811BE8">
        <w:rPr>
          <w:sz w:val="22"/>
          <w:szCs w:val="22"/>
        </w:rPr>
        <w:t>.</w:t>
      </w:r>
    </w:p>
    <w:p w:rsidR="000E7C87" w:rsidRPr="00811BE8" w:rsidRDefault="00CA333A">
      <w:pPr>
        <w:pStyle w:val="Bibliography"/>
        <w:rPr>
          <w:sz w:val="22"/>
          <w:szCs w:val="22"/>
        </w:rPr>
      </w:pPr>
      <w:bookmarkStart w:id="20" w:name="ref-Johnson1997"/>
      <w:bookmarkEnd w:id="19"/>
      <w:r w:rsidRPr="00811BE8">
        <w:rPr>
          <w:sz w:val="22"/>
          <w:szCs w:val="22"/>
        </w:rPr>
        <w:lastRenderedPageBreak/>
        <w:t>Johnson, Lucinda, Carl Richards, George Host, and John Arthur. 1997. “Landscape in</w:t>
      </w:r>
      <w:r w:rsidRPr="00811BE8">
        <w:rPr>
          <w:sz w:val="22"/>
          <w:szCs w:val="22"/>
        </w:rPr>
        <w:t xml:space="preserve">fluences on water chemistry in Midwestern stream ecosystems.” </w:t>
      </w:r>
      <w:r w:rsidRPr="00811BE8">
        <w:rPr>
          <w:i/>
          <w:sz w:val="22"/>
          <w:szCs w:val="22"/>
        </w:rPr>
        <w:t>Freshwater Biology</w:t>
      </w:r>
      <w:r w:rsidRPr="00811BE8">
        <w:rPr>
          <w:sz w:val="22"/>
          <w:szCs w:val="22"/>
        </w:rPr>
        <w:t xml:space="preserve"> 37: 193–208. </w:t>
      </w:r>
      <w:hyperlink r:id="rId25">
        <w:r w:rsidRPr="00811BE8">
          <w:rPr>
            <w:rStyle w:val="Hyperlink"/>
            <w:sz w:val="22"/>
            <w:szCs w:val="22"/>
          </w:rPr>
          <w:t>https://doi.org/doi:10.1046/j.1365-2427.1997.d01-539.x</w:t>
        </w:r>
      </w:hyperlink>
      <w:r w:rsidRPr="00811BE8">
        <w:rPr>
          <w:sz w:val="22"/>
          <w:szCs w:val="22"/>
        </w:rPr>
        <w:t>.</w:t>
      </w:r>
    </w:p>
    <w:p w:rsidR="000E7C87" w:rsidRPr="00811BE8" w:rsidRDefault="00CA333A">
      <w:pPr>
        <w:pStyle w:val="Bibliography"/>
        <w:rPr>
          <w:sz w:val="22"/>
          <w:szCs w:val="22"/>
        </w:rPr>
      </w:pPr>
      <w:bookmarkStart w:id="21" w:name="ref-Matilainen2011"/>
      <w:bookmarkEnd w:id="20"/>
      <w:r w:rsidRPr="00811BE8">
        <w:rPr>
          <w:sz w:val="22"/>
          <w:szCs w:val="22"/>
        </w:rPr>
        <w:t>Matilainen, Anu, Egil T. Gjessin</w:t>
      </w:r>
      <w:r w:rsidRPr="00811BE8">
        <w:rPr>
          <w:sz w:val="22"/>
          <w:szCs w:val="22"/>
        </w:rPr>
        <w:t xml:space="preserve">g, Tanja Lahtinen, Leif Hed, Amit Bhatnagar, and Mika Sillanpää. 2011. “An overview of the methods used in the characterisation of natural organic matter (NOM) in relation to drinking water treatment.” </w:t>
      </w:r>
      <w:r w:rsidRPr="00811BE8">
        <w:rPr>
          <w:i/>
          <w:sz w:val="22"/>
          <w:szCs w:val="22"/>
        </w:rPr>
        <w:t>Chemosphere</w:t>
      </w:r>
      <w:r w:rsidRPr="00811BE8">
        <w:rPr>
          <w:sz w:val="22"/>
          <w:szCs w:val="22"/>
        </w:rPr>
        <w:t xml:space="preserve"> 83 (11): 1431–42. </w:t>
      </w:r>
      <w:hyperlink r:id="rId26">
        <w:r w:rsidRPr="00811BE8">
          <w:rPr>
            <w:rStyle w:val="Hyperlink"/>
            <w:sz w:val="22"/>
            <w:szCs w:val="22"/>
          </w:rPr>
          <w:t>https://doi.org/10.1016/j.chemosphere.2011.01.018</w:t>
        </w:r>
      </w:hyperlink>
      <w:r w:rsidRPr="00811BE8">
        <w:rPr>
          <w:sz w:val="22"/>
          <w:szCs w:val="22"/>
        </w:rPr>
        <w:t>.</w:t>
      </w:r>
    </w:p>
    <w:p w:rsidR="000E7C87" w:rsidRPr="00811BE8" w:rsidRDefault="00CA333A">
      <w:pPr>
        <w:pStyle w:val="Bibliography"/>
        <w:rPr>
          <w:sz w:val="22"/>
          <w:szCs w:val="22"/>
        </w:rPr>
      </w:pPr>
      <w:bookmarkStart w:id="22" w:name="ref-Pike2010"/>
      <w:bookmarkEnd w:id="21"/>
      <w:r w:rsidRPr="00811BE8">
        <w:rPr>
          <w:sz w:val="22"/>
          <w:szCs w:val="22"/>
        </w:rPr>
        <w:t xml:space="preserve">Pike, R., M. Feller, J. Stednick, K Rieberger, and M Carver. 2010. “Water Quality and Forest Management.” In </w:t>
      </w:r>
      <w:r w:rsidRPr="00811BE8">
        <w:rPr>
          <w:i/>
          <w:sz w:val="22"/>
          <w:szCs w:val="22"/>
        </w:rPr>
        <w:t>Compendium of Forest Hydrology and Geomorphology in</w:t>
      </w:r>
      <w:r w:rsidRPr="00811BE8">
        <w:rPr>
          <w:i/>
          <w:sz w:val="22"/>
          <w:szCs w:val="22"/>
        </w:rPr>
        <w:t xml:space="preserve"> British Columbia: Volume 2 of 2</w:t>
      </w:r>
      <w:r w:rsidRPr="00811BE8">
        <w:rPr>
          <w:sz w:val="22"/>
          <w:szCs w:val="22"/>
        </w:rPr>
        <w:t xml:space="preserve">, 400–439. </w:t>
      </w:r>
      <w:hyperlink r:id="rId27">
        <w:r w:rsidRPr="00811BE8">
          <w:rPr>
            <w:rStyle w:val="Hyperlink"/>
            <w:sz w:val="22"/>
            <w:szCs w:val="22"/>
          </w:rPr>
          <w:t>https://www.for.gov.bc.ca/hfd/pubs/docs/lmh/Lmh66/LMH66{\_}volume2of2.pdf</w:t>
        </w:r>
      </w:hyperlink>
      <w:r w:rsidRPr="00811BE8">
        <w:rPr>
          <w:sz w:val="22"/>
          <w:szCs w:val="22"/>
        </w:rPr>
        <w:t>.</w:t>
      </w:r>
    </w:p>
    <w:p w:rsidR="000E7C87" w:rsidRPr="00811BE8" w:rsidRDefault="00CA333A">
      <w:pPr>
        <w:pStyle w:val="Bibliography"/>
        <w:rPr>
          <w:sz w:val="22"/>
          <w:szCs w:val="22"/>
        </w:rPr>
      </w:pPr>
      <w:bookmarkStart w:id="23" w:name="ref-Raymond2010"/>
      <w:bookmarkEnd w:id="22"/>
      <w:r w:rsidRPr="00811BE8">
        <w:rPr>
          <w:sz w:val="22"/>
          <w:szCs w:val="22"/>
        </w:rPr>
        <w:t>Raymond, Peter A, James E Saiers, Source Bio</w:t>
      </w:r>
      <w:r w:rsidRPr="00811BE8">
        <w:rPr>
          <w:sz w:val="22"/>
          <w:szCs w:val="22"/>
        </w:rPr>
        <w:t xml:space="preserve">geochemistry, No September, Peter A Raymond, and James E Saiers. 2010. “Event controlled DOC export from forested watersheds.” </w:t>
      </w:r>
      <w:r w:rsidRPr="00811BE8">
        <w:rPr>
          <w:i/>
          <w:sz w:val="22"/>
          <w:szCs w:val="22"/>
        </w:rPr>
        <w:t>Biogeochemistry</w:t>
      </w:r>
      <w:r w:rsidRPr="00811BE8">
        <w:rPr>
          <w:sz w:val="22"/>
          <w:szCs w:val="22"/>
        </w:rPr>
        <w:t xml:space="preserve"> 100 (1): 197–209. </w:t>
      </w:r>
      <w:hyperlink r:id="rId28">
        <w:r w:rsidRPr="00811BE8">
          <w:rPr>
            <w:rStyle w:val="Hyperlink"/>
            <w:sz w:val="22"/>
            <w:szCs w:val="22"/>
          </w:rPr>
          <w:t>https://doi.org/10.1007/sl0533-010</w:t>
        </w:r>
        <w:r w:rsidRPr="00811BE8">
          <w:rPr>
            <w:rStyle w:val="Hyperlink"/>
            <w:sz w:val="22"/>
            <w:szCs w:val="22"/>
          </w:rPr>
          <w:t>-9416-7</w:t>
        </w:r>
      </w:hyperlink>
      <w:r w:rsidRPr="00811BE8">
        <w:rPr>
          <w:sz w:val="22"/>
          <w:szCs w:val="22"/>
        </w:rPr>
        <w:t>.</w:t>
      </w:r>
    </w:p>
    <w:p w:rsidR="000E7C87" w:rsidRPr="00811BE8" w:rsidRDefault="00CA333A">
      <w:pPr>
        <w:pStyle w:val="Bibliography"/>
        <w:rPr>
          <w:sz w:val="22"/>
          <w:szCs w:val="22"/>
        </w:rPr>
      </w:pPr>
      <w:bookmarkStart w:id="24" w:name="ref-Raymond2016"/>
      <w:bookmarkEnd w:id="23"/>
      <w:r w:rsidRPr="00811BE8">
        <w:rPr>
          <w:sz w:val="22"/>
          <w:szCs w:val="22"/>
        </w:rPr>
        <w:t xml:space="preserve">Raymond, Peter A, James E Saiers, William V Sobczak, and E James. 2016. “Hydrological and biogeochemical controls on watershed dissolved organic matter transport: pulse-shunt concept.” </w:t>
      </w:r>
      <w:r w:rsidRPr="00811BE8">
        <w:rPr>
          <w:i/>
          <w:sz w:val="22"/>
          <w:szCs w:val="22"/>
        </w:rPr>
        <w:t>Ecology</w:t>
      </w:r>
      <w:r w:rsidRPr="00811BE8">
        <w:rPr>
          <w:sz w:val="22"/>
          <w:szCs w:val="22"/>
        </w:rPr>
        <w:t xml:space="preserve"> 97 (1): 5–16. </w:t>
      </w:r>
      <w:hyperlink r:id="rId29">
        <w:r w:rsidRPr="00811BE8">
          <w:rPr>
            <w:rStyle w:val="Hyperlink"/>
            <w:sz w:val="22"/>
            <w:szCs w:val="22"/>
          </w:rPr>
          <w:t>https://www.jstor.org/stable/24702986</w:t>
        </w:r>
      </w:hyperlink>
      <w:r w:rsidRPr="00811BE8">
        <w:rPr>
          <w:sz w:val="22"/>
          <w:szCs w:val="22"/>
        </w:rPr>
        <w:t>.</w:t>
      </w:r>
    </w:p>
    <w:p w:rsidR="000E7C87" w:rsidRPr="00811BE8" w:rsidRDefault="00CA333A">
      <w:pPr>
        <w:pStyle w:val="Bibliography"/>
        <w:rPr>
          <w:sz w:val="22"/>
          <w:szCs w:val="22"/>
        </w:rPr>
      </w:pPr>
      <w:bookmarkStart w:id="25" w:name="ref-Richardson2007"/>
      <w:bookmarkEnd w:id="24"/>
      <w:r w:rsidRPr="00811BE8">
        <w:rPr>
          <w:sz w:val="22"/>
          <w:szCs w:val="22"/>
        </w:rPr>
        <w:t>Richardson, Susan D., Michael J. Plewa, Elizabeth D. Wagner, Rita Schoeny, and David M. DeMarini. 2007. “Occurrence, genotoxicity, and carcinogenicity of regulated and emerging disinfection by-product</w:t>
      </w:r>
      <w:r w:rsidRPr="00811BE8">
        <w:rPr>
          <w:sz w:val="22"/>
          <w:szCs w:val="22"/>
        </w:rPr>
        <w:t xml:space="preserve">s in drinking water: A review and roadmap for research.” </w:t>
      </w:r>
      <w:r w:rsidRPr="00811BE8">
        <w:rPr>
          <w:i/>
          <w:sz w:val="22"/>
          <w:szCs w:val="22"/>
        </w:rPr>
        <w:t>Mutation Research - Reviews in Mutation Research</w:t>
      </w:r>
      <w:r w:rsidRPr="00811BE8">
        <w:rPr>
          <w:sz w:val="22"/>
          <w:szCs w:val="22"/>
        </w:rPr>
        <w:t xml:space="preserve"> 636 (1-3): 178–242. </w:t>
      </w:r>
      <w:hyperlink r:id="rId30">
        <w:r w:rsidRPr="00811BE8">
          <w:rPr>
            <w:rStyle w:val="Hyperlink"/>
            <w:sz w:val="22"/>
            <w:szCs w:val="22"/>
          </w:rPr>
          <w:t>https://doi.org/10.1016/j.mrrev.2007.09.001</w:t>
        </w:r>
      </w:hyperlink>
      <w:r w:rsidRPr="00811BE8">
        <w:rPr>
          <w:sz w:val="22"/>
          <w:szCs w:val="22"/>
        </w:rPr>
        <w:t>.</w:t>
      </w:r>
    </w:p>
    <w:p w:rsidR="000E7C87" w:rsidRPr="00811BE8" w:rsidRDefault="00CA333A">
      <w:pPr>
        <w:pStyle w:val="Bibliography"/>
        <w:rPr>
          <w:sz w:val="22"/>
          <w:szCs w:val="22"/>
        </w:rPr>
      </w:pPr>
      <w:bookmarkStart w:id="26" w:name="ref-Yang2015"/>
      <w:bookmarkEnd w:id="25"/>
      <w:r w:rsidRPr="00811BE8">
        <w:rPr>
          <w:sz w:val="22"/>
          <w:szCs w:val="22"/>
        </w:rPr>
        <w:t>Yang, Liyang, Jin Hur,</w:t>
      </w:r>
      <w:r w:rsidRPr="00811BE8">
        <w:rPr>
          <w:sz w:val="22"/>
          <w:szCs w:val="22"/>
        </w:rPr>
        <w:t xml:space="preserve"> Sonmin Lee, Soon Woong Chang, and Hyun Sang Shin. 2015. “Dynamics of dissolved organic matter during four storm events in two forest streams: source, export, and implications for harmful disinfection byproduct formation.” </w:t>
      </w:r>
      <w:r w:rsidRPr="00811BE8">
        <w:rPr>
          <w:i/>
          <w:sz w:val="22"/>
          <w:szCs w:val="22"/>
        </w:rPr>
        <w:t>Environmental Science and Polluti</w:t>
      </w:r>
      <w:r w:rsidRPr="00811BE8">
        <w:rPr>
          <w:i/>
          <w:sz w:val="22"/>
          <w:szCs w:val="22"/>
        </w:rPr>
        <w:t>on Research</w:t>
      </w:r>
      <w:r w:rsidRPr="00811BE8">
        <w:rPr>
          <w:sz w:val="22"/>
          <w:szCs w:val="22"/>
        </w:rPr>
        <w:t xml:space="preserve"> 22 (12): 9173–83. </w:t>
      </w:r>
      <w:hyperlink r:id="rId31">
        <w:r w:rsidRPr="00811BE8">
          <w:rPr>
            <w:rStyle w:val="Hyperlink"/>
            <w:sz w:val="22"/>
            <w:szCs w:val="22"/>
          </w:rPr>
          <w:t>https://doi.org/10.1007/s11356-015-4078-6</w:t>
        </w:r>
      </w:hyperlink>
      <w:r w:rsidRPr="00811BE8">
        <w:rPr>
          <w:sz w:val="22"/>
          <w:szCs w:val="22"/>
        </w:rPr>
        <w:t>.</w:t>
      </w:r>
      <w:bookmarkEnd w:id="12"/>
      <w:bookmarkEnd w:id="26"/>
    </w:p>
    <w:sectPr w:rsidR="000E7C87" w:rsidRPr="00811BE8" w:rsidSect="00CC27DB">
      <w:footerReference w:type="default" r:id="rId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33A" w:rsidRDefault="00CA333A">
      <w:pPr>
        <w:spacing w:before="0" w:line="240" w:lineRule="auto"/>
      </w:pPr>
      <w:r>
        <w:separator/>
      </w:r>
    </w:p>
  </w:endnote>
  <w:endnote w:type="continuationSeparator" w:id="0">
    <w:p w:rsidR="00CA333A" w:rsidRDefault="00CA33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Ebrima">
    <w:panose1 w:val="02000000000000000000"/>
    <w:charset w:val="00"/>
    <w:family w:val="auto"/>
    <w:pitch w:val="variable"/>
    <w:sig w:usb0="A000005F" w:usb1="02000041" w:usb2="00000800" w:usb3="00000000" w:csb0="00000093" w:csb1="00000000"/>
  </w:font>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440469"/>
      <w:docPartObj>
        <w:docPartGallery w:val="Page Numbers (Bottom of Page)"/>
        <w:docPartUnique/>
      </w:docPartObj>
    </w:sdtPr>
    <w:sdtEndPr>
      <w:rPr>
        <w:noProof/>
      </w:rPr>
    </w:sdtEndPr>
    <w:sdtContent>
      <w:p w:rsidR="00CC27DB" w:rsidRDefault="00CA333A" w:rsidP="000E25D6">
        <w:pPr>
          <w:pStyle w:val="Footer"/>
        </w:pPr>
        <w:r>
          <w:fldChar w:fldCharType="begin"/>
        </w:r>
        <w:r>
          <w:instrText xml:space="preserve"> PAGE   \* MERGEFORMAT </w:instrText>
        </w:r>
        <w:r>
          <w:fldChar w:fldCharType="separate"/>
        </w:r>
        <w:r>
          <w:rPr>
            <w:noProof/>
          </w:rPr>
          <w:t>2</w:t>
        </w:r>
        <w:r>
          <w:rPr>
            <w:noProof/>
          </w:rPr>
          <w:fldChar w:fldCharType="end"/>
        </w:r>
      </w:p>
    </w:sdtContent>
  </w:sdt>
  <w:p w:rsidR="00CC27DB" w:rsidRDefault="00CA333A" w:rsidP="000E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33A" w:rsidRDefault="00CA333A">
      <w:r>
        <w:separator/>
      </w:r>
    </w:p>
  </w:footnote>
  <w:footnote w:type="continuationSeparator" w:id="0">
    <w:p w:rsidR="00CA333A" w:rsidRDefault="00CA3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B7250D"/>
    <w:multiLevelType w:val="multilevel"/>
    <w:tmpl w:val="4E5C9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9E580B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0DF01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E7C87"/>
    <w:rsid w:val="00240E97"/>
    <w:rsid w:val="003B20A0"/>
    <w:rsid w:val="004E29B3"/>
    <w:rsid w:val="00590D07"/>
    <w:rsid w:val="00784D58"/>
    <w:rsid w:val="007F45C9"/>
    <w:rsid w:val="00811BE8"/>
    <w:rsid w:val="008D6863"/>
    <w:rsid w:val="00B86B75"/>
    <w:rsid w:val="00BC48D5"/>
    <w:rsid w:val="00C36279"/>
    <w:rsid w:val="00CA333A"/>
    <w:rsid w:val="00D1294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5853"/>
  <w15:docId w15:val="{A583995F-E8EB-47A6-BAC2-EE7C17D5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4"/>
        <w:lang w:val="en-CA"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25D6"/>
    <w:pPr>
      <w:spacing w:before="240"/>
    </w:pPr>
    <w:rPr>
      <w:rFonts w:ascii="Ebrima" w:hAnsi="Ebrima"/>
    </w:rPr>
  </w:style>
  <w:style w:type="paragraph" w:styleId="Heading1">
    <w:name w:val="heading 1"/>
    <w:basedOn w:val="Normal"/>
    <w:next w:val="Normal"/>
    <w:link w:val="Heading1Char"/>
    <w:uiPriority w:val="9"/>
    <w:qFormat/>
    <w:rsid w:val="00CC27DB"/>
    <w:pPr>
      <w:keepNext/>
      <w:keepLines/>
      <w:pageBreakBefore/>
      <w:pBdr>
        <w:bottom w:val="single" w:sz="4" w:space="1" w:color="595959" w:themeColor="text1" w:themeTint="A6"/>
      </w:pBdr>
      <w:spacing w:after="240"/>
      <w:outlineLvl w:val="0"/>
    </w:pPr>
    <w:rPr>
      <w:rFonts w:ascii="Segoe UI Semibold" w:eastAsiaTheme="majorEastAsia" w:hAnsi="Segoe UI Semibold" w:cs="Segoe UI Semibold"/>
      <w:sz w:val="28"/>
      <w:szCs w:val="32"/>
    </w:rPr>
  </w:style>
  <w:style w:type="paragraph" w:styleId="Heading2">
    <w:name w:val="heading 2"/>
    <w:basedOn w:val="Normal"/>
    <w:next w:val="Normal"/>
    <w:link w:val="Heading2Char"/>
    <w:uiPriority w:val="9"/>
    <w:unhideWhenUsed/>
    <w:qFormat/>
    <w:rsid w:val="00CC27DB"/>
    <w:pPr>
      <w:keepNext/>
      <w:keepLines/>
      <w:spacing w:after="240"/>
      <w:outlineLvl w:val="1"/>
    </w:pPr>
    <w:rPr>
      <w:rFonts w:ascii="Segoe UI Semibold" w:eastAsiaTheme="majorEastAsia" w:hAnsi="Segoe UI Semibold" w:cs="Segoe UI Semibold"/>
      <w:sz w:val="26"/>
      <w:szCs w:val="26"/>
    </w:rPr>
  </w:style>
  <w:style w:type="paragraph" w:styleId="Heading3">
    <w:name w:val="heading 3"/>
    <w:basedOn w:val="Normal"/>
    <w:next w:val="Normal"/>
    <w:link w:val="Heading3Char"/>
    <w:uiPriority w:val="9"/>
    <w:unhideWhenUsed/>
    <w:qFormat/>
    <w:rsid w:val="00CC27DB"/>
    <w:pPr>
      <w:keepNext/>
      <w:keepLines/>
      <w:spacing w:before="40" w:after="240"/>
      <w:outlineLvl w:val="2"/>
    </w:pPr>
    <w:rPr>
      <w:rFonts w:ascii="Segoe UI" w:eastAsiaTheme="majorEastAsia" w:hAnsi="Segoe UI" w:cs="Segoe UI"/>
      <w:b/>
      <w:szCs w:val="28"/>
    </w:rPr>
  </w:style>
  <w:style w:type="paragraph" w:styleId="Heading4">
    <w:name w:val="heading 4"/>
    <w:basedOn w:val="Normal"/>
    <w:next w:val="Normal"/>
    <w:link w:val="Heading4Char"/>
    <w:uiPriority w:val="9"/>
    <w:unhideWhenUsed/>
    <w:qFormat/>
    <w:rsid w:val="002F4D37"/>
    <w:pPr>
      <w:keepNext/>
      <w:keepLines/>
      <w:outlineLvl w:val="3"/>
    </w:pPr>
    <w:rPr>
      <w:rFonts w:ascii="Segoe UI" w:eastAsiaTheme="majorEastAsia" w:hAnsi="Segoe UI" w:cs="Segoe UI"/>
      <w:b/>
      <w:i/>
      <w:iCs/>
      <w:szCs w:val="28"/>
    </w:rPr>
  </w:style>
  <w:style w:type="paragraph" w:styleId="Heading5">
    <w:name w:val="heading 5"/>
    <w:basedOn w:val="Heading4"/>
    <w:next w:val="Normal"/>
    <w:link w:val="Heading5Char"/>
    <w:uiPriority w:val="9"/>
    <w:unhideWhenUsed/>
    <w:qFormat/>
    <w:rsid w:val="007E4872"/>
    <w:pPr>
      <w:outlineLvl w:val="4"/>
    </w:pPr>
    <w:rPr>
      <w:rFonts w:ascii="Segoe UI Semibold" w:hAnsi="Segoe UI Semibold" w:cs="Segoe UI Semibold"/>
      <w:b w:val="0"/>
      <w:i w:val="0"/>
      <w:szCs w:val="24"/>
      <w:u w:val="single"/>
    </w:rPr>
  </w:style>
  <w:style w:type="paragraph" w:styleId="Heading6">
    <w:name w:val="heading 6"/>
    <w:basedOn w:val="Normal"/>
    <w:next w:val="Normal"/>
    <w:link w:val="Heading6Char"/>
    <w:uiPriority w:val="9"/>
    <w:unhideWhenUsed/>
    <w:qFormat/>
    <w:rsid w:val="007E4872"/>
    <w:pPr>
      <w:outlineLvl w:val="5"/>
    </w:pPr>
    <w:rPr>
      <w:rFonts w:ascii="Segoe UI Semibold" w:hAnsi="Segoe UI Semibold" w:cs="Segoe UI Semi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7DB"/>
    <w:pPr>
      <w:spacing w:before="2040" w:after="48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C27DB"/>
    <w:rPr>
      <w:rFonts w:ascii="Ebrima" w:eastAsiaTheme="majorEastAsia" w:hAnsi="Ebrima" w:cstheme="majorBidi"/>
      <w:spacing w:val="-10"/>
      <w:kern w:val="28"/>
      <w:sz w:val="40"/>
      <w:szCs w:val="56"/>
    </w:rPr>
  </w:style>
  <w:style w:type="paragraph" w:styleId="Subtitle">
    <w:name w:val="Subtitle"/>
    <w:basedOn w:val="Normal"/>
    <w:next w:val="Normal"/>
    <w:link w:val="SubtitleChar"/>
    <w:uiPriority w:val="11"/>
    <w:qFormat/>
    <w:rsid w:val="00CC27DB"/>
    <w:pPr>
      <w:numPr>
        <w:ilvl w:val="1"/>
      </w:numPr>
      <w:spacing w:after="960"/>
    </w:pPr>
    <w:rPr>
      <w:rFonts w:eastAsiaTheme="minorEastAsia" w:cstheme="minorBidi"/>
      <w:color w:val="5A5A5A" w:themeColor="text1" w:themeTint="A5"/>
      <w:spacing w:val="15"/>
      <w:sz w:val="28"/>
      <w:szCs w:val="22"/>
    </w:rPr>
  </w:style>
  <w:style w:type="character" w:customStyle="1" w:styleId="SubtitleChar">
    <w:name w:val="Subtitle Char"/>
    <w:basedOn w:val="DefaultParagraphFont"/>
    <w:link w:val="Subtitle"/>
    <w:uiPriority w:val="11"/>
    <w:rsid w:val="00CC27DB"/>
    <w:rPr>
      <w:rFonts w:ascii="Ebrima" w:eastAsiaTheme="minorEastAsia" w:hAnsi="Ebrima" w:cstheme="minorBidi"/>
      <w:color w:val="5A5A5A" w:themeColor="text1" w:themeTint="A5"/>
      <w:spacing w:val="15"/>
      <w:sz w:val="28"/>
      <w:szCs w:val="22"/>
    </w:rPr>
  </w:style>
  <w:style w:type="paragraph" w:styleId="Quote">
    <w:name w:val="Quote"/>
    <w:basedOn w:val="IntenseQuote"/>
    <w:next w:val="Normal"/>
    <w:link w:val="QuoteChar"/>
    <w:uiPriority w:val="29"/>
    <w:qFormat/>
    <w:rsid w:val="0068354C"/>
  </w:style>
  <w:style w:type="character" w:customStyle="1" w:styleId="QuoteChar">
    <w:name w:val="Quote Char"/>
    <w:basedOn w:val="DefaultParagraphFont"/>
    <w:link w:val="Quote"/>
    <w:uiPriority w:val="29"/>
    <w:rsid w:val="0068354C"/>
    <w:rPr>
      <w:rFonts w:ascii="Ebrima" w:hAnsi="Ebrima"/>
      <w:i/>
      <w:iCs/>
      <w:color w:val="0D0D0D" w:themeColor="text1" w:themeTint="F2"/>
    </w:rPr>
  </w:style>
  <w:style w:type="character" w:customStyle="1" w:styleId="Heading1Char">
    <w:name w:val="Heading 1 Char"/>
    <w:basedOn w:val="DefaultParagraphFont"/>
    <w:link w:val="Heading1"/>
    <w:uiPriority w:val="9"/>
    <w:rsid w:val="00CC27DB"/>
    <w:rPr>
      <w:rFonts w:ascii="Segoe UI Semibold" w:eastAsiaTheme="majorEastAsia" w:hAnsi="Segoe UI Semibold" w:cs="Segoe UI Semibold"/>
      <w:sz w:val="28"/>
      <w:szCs w:val="32"/>
    </w:rPr>
  </w:style>
  <w:style w:type="character" w:customStyle="1" w:styleId="Heading2Char">
    <w:name w:val="Heading 2 Char"/>
    <w:basedOn w:val="DefaultParagraphFont"/>
    <w:link w:val="Heading2"/>
    <w:uiPriority w:val="9"/>
    <w:rsid w:val="00CC27DB"/>
    <w:rPr>
      <w:rFonts w:ascii="Segoe UI Semibold" w:eastAsiaTheme="majorEastAsia" w:hAnsi="Segoe UI Semibold" w:cs="Segoe UI Semibold"/>
      <w:sz w:val="26"/>
      <w:szCs w:val="26"/>
    </w:rPr>
  </w:style>
  <w:style w:type="character" w:customStyle="1" w:styleId="Heading3Char">
    <w:name w:val="Heading 3 Char"/>
    <w:basedOn w:val="DefaultParagraphFont"/>
    <w:link w:val="Heading3"/>
    <w:uiPriority w:val="9"/>
    <w:rsid w:val="00CC27DB"/>
    <w:rPr>
      <w:rFonts w:ascii="Segoe UI" w:eastAsiaTheme="majorEastAsia" w:hAnsi="Segoe UI" w:cs="Segoe UI"/>
      <w:b/>
      <w:szCs w:val="28"/>
    </w:rPr>
  </w:style>
  <w:style w:type="character" w:customStyle="1" w:styleId="Heading4Char">
    <w:name w:val="Heading 4 Char"/>
    <w:basedOn w:val="DefaultParagraphFont"/>
    <w:link w:val="Heading4"/>
    <w:uiPriority w:val="9"/>
    <w:rsid w:val="002F4D37"/>
    <w:rPr>
      <w:rFonts w:ascii="Segoe UI" w:eastAsiaTheme="majorEastAsia" w:hAnsi="Segoe UI" w:cs="Segoe UI"/>
      <w:b/>
      <w:i/>
      <w:iCs/>
      <w:szCs w:val="28"/>
    </w:rPr>
  </w:style>
  <w:style w:type="paragraph" w:styleId="IntenseQuote">
    <w:name w:val="Intense Quote"/>
    <w:basedOn w:val="Normal"/>
    <w:next w:val="Normal"/>
    <w:link w:val="IntenseQuoteChar"/>
    <w:uiPriority w:val="30"/>
    <w:qFormat/>
    <w:rsid w:val="00273815"/>
    <w:pPr>
      <w:pBdr>
        <w:top w:val="single" w:sz="4" w:space="10" w:color="595959" w:themeColor="text1" w:themeTint="A6"/>
        <w:bottom w:val="single" w:sz="4" w:space="10" w:color="595959" w:themeColor="text1" w:themeTint="A6"/>
      </w:pBdr>
      <w:spacing w:before="360" w:after="360"/>
      <w:ind w:left="864" w:right="864"/>
      <w:jc w:val="center"/>
    </w:pPr>
    <w:rPr>
      <w:i/>
      <w:iCs/>
      <w:color w:val="0D0D0D" w:themeColor="text1" w:themeTint="F2"/>
    </w:rPr>
  </w:style>
  <w:style w:type="character" w:customStyle="1" w:styleId="IntenseQuoteChar">
    <w:name w:val="Intense Quote Char"/>
    <w:basedOn w:val="DefaultParagraphFont"/>
    <w:link w:val="IntenseQuote"/>
    <w:uiPriority w:val="30"/>
    <w:rsid w:val="00273815"/>
    <w:rPr>
      <w:rFonts w:ascii="Ebrima" w:hAnsi="Ebrima"/>
      <w:i/>
      <w:iCs/>
      <w:color w:val="0D0D0D" w:themeColor="text1" w:themeTint="F2"/>
    </w:rPr>
  </w:style>
  <w:style w:type="character" w:customStyle="1" w:styleId="Heading5Char">
    <w:name w:val="Heading 5 Char"/>
    <w:basedOn w:val="DefaultParagraphFont"/>
    <w:link w:val="Heading5"/>
    <w:uiPriority w:val="9"/>
    <w:rsid w:val="007E4872"/>
    <w:rPr>
      <w:rFonts w:ascii="Segoe UI Semibold" w:eastAsiaTheme="majorEastAsia" w:hAnsi="Segoe UI Semibold" w:cs="Segoe UI Semibold"/>
      <w:iCs/>
      <w:u w:val="single"/>
    </w:rPr>
  </w:style>
  <w:style w:type="paragraph" w:styleId="Header">
    <w:name w:val="header"/>
    <w:basedOn w:val="Normal"/>
    <w:link w:val="HeaderChar"/>
    <w:uiPriority w:val="99"/>
    <w:unhideWhenUsed/>
    <w:rsid w:val="003F4372"/>
    <w:pPr>
      <w:tabs>
        <w:tab w:val="center" w:pos="4680"/>
        <w:tab w:val="right" w:pos="9360"/>
      </w:tabs>
      <w:spacing w:line="240" w:lineRule="auto"/>
    </w:pPr>
  </w:style>
  <w:style w:type="character" w:customStyle="1" w:styleId="HeaderChar">
    <w:name w:val="Header Char"/>
    <w:basedOn w:val="DefaultParagraphFont"/>
    <w:link w:val="Header"/>
    <w:uiPriority w:val="99"/>
    <w:rsid w:val="003F4372"/>
    <w:rPr>
      <w:rFonts w:ascii="Ebrima" w:hAnsi="Ebrima"/>
    </w:rPr>
  </w:style>
  <w:style w:type="paragraph" w:styleId="Footer">
    <w:name w:val="footer"/>
    <w:basedOn w:val="Normal"/>
    <w:link w:val="FooterChar"/>
    <w:uiPriority w:val="99"/>
    <w:unhideWhenUsed/>
    <w:rsid w:val="003F4372"/>
    <w:pPr>
      <w:tabs>
        <w:tab w:val="center" w:pos="4680"/>
        <w:tab w:val="right" w:pos="9360"/>
      </w:tabs>
      <w:spacing w:line="240" w:lineRule="auto"/>
    </w:pPr>
  </w:style>
  <w:style w:type="character" w:customStyle="1" w:styleId="FooterChar">
    <w:name w:val="Footer Char"/>
    <w:basedOn w:val="DefaultParagraphFont"/>
    <w:link w:val="Footer"/>
    <w:uiPriority w:val="99"/>
    <w:rsid w:val="003F4372"/>
    <w:rPr>
      <w:rFonts w:ascii="Ebrima" w:hAnsi="Ebrima"/>
    </w:rPr>
  </w:style>
  <w:style w:type="character" w:customStyle="1" w:styleId="Heading6Char">
    <w:name w:val="Heading 6 Char"/>
    <w:basedOn w:val="DefaultParagraphFont"/>
    <w:link w:val="Heading6"/>
    <w:uiPriority w:val="9"/>
    <w:rsid w:val="007E4872"/>
    <w:rPr>
      <w:rFonts w:ascii="Segoe UI Semibold" w:hAnsi="Segoe UI Semibold" w:cs="Segoe UI Semibold"/>
    </w:rPr>
  </w:style>
  <w:style w:type="paragraph" w:styleId="TOC1">
    <w:name w:val="toc 1"/>
    <w:basedOn w:val="Normal"/>
    <w:next w:val="Normal"/>
    <w:autoRedefine/>
    <w:uiPriority w:val="39"/>
    <w:unhideWhenUsed/>
    <w:rsid w:val="00CC27DB"/>
    <w:pPr>
      <w:tabs>
        <w:tab w:val="right" w:leader="dot" w:pos="9350"/>
      </w:tabs>
      <w:spacing w:before="360"/>
    </w:pPr>
    <w:rPr>
      <w:rFonts w:ascii="Segoe UI" w:hAnsi="Segoe UI" w:cs="Segoe UI"/>
      <w:b/>
      <w:bCs/>
      <w:caps/>
      <w:noProof/>
    </w:rPr>
  </w:style>
  <w:style w:type="paragraph" w:styleId="TOC2">
    <w:name w:val="toc 2"/>
    <w:basedOn w:val="Normal"/>
    <w:next w:val="Normal"/>
    <w:autoRedefine/>
    <w:uiPriority w:val="39"/>
    <w:unhideWhenUsed/>
    <w:rsid w:val="00CC27DB"/>
    <w:pPr>
      <w:tabs>
        <w:tab w:val="right" w:leader="dot" w:pos="9350"/>
      </w:tabs>
    </w:pPr>
    <w:rPr>
      <w:rFonts w:ascii="Segoe UI" w:hAnsi="Segoe UI" w:cs="Segoe UI"/>
      <w:b/>
      <w:bCs/>
      <w:noProof/>
      <w:sz w:val="20"/>
      <w:szCs w:val="20"/>
    </w:rPr>
  </w:style>
  <w:style w:type="paragraph" w:styleId="TOC3">
    <w:name w:val="toc 3"/>
    <w:basedOn w:val="Normal"/>
    <w:next w:val="Normal"/>
    <w:autoRedefine/>
    <w:uiPriority w:val="39"/>
    <w:unhideWhenUsed/>
    <w:rsid w:val="00CC27DB"/>
    <w:pPr>
      <w:tabs>
        <w:tab w:val="right" w:leader="dot" w:pos="9350"/>
      </w:tabs>
      <w:ind w:left="240"/>
    </w:pPr>
    <w:rPr>
      <w:rFonts w:ascii="Segoe UI" w:hAnsi="Segoe UI" w:cs="Segoe UI"/>
      <w:noProof/>
      <w:sz w:val="20"/>
      <w:szCs w:val="20"/>
    </w:rPr>
  </w:style>
  <w:style w:type="paragraph" w:styleId="TOC4">
    <w:name w:val="toc 4"/>
    <w:basedOn w:val="Normal"/>
    <w:next w:val="Normal"/>
    <w:autoRedefine/>
    <w:uiPriority w:val="39"/>
    <w:unhideWhenUsed/>
    <w:rsid w:val="00CE7188"/>
    <w:pPr>
      <w:ind w:left="480"/>
    </w:pPr>
    <w:rPr>
      <w:rFonts w:asciiTheme="minorHAnsi" w:hAnsiTheme="minorHAnsi"/>
      <w:sz w:val="20"/>
      <w:szCs w:val="20"/>
    </w:rPr>
  </w:style>
  <w:style w:type="paragraph" w:styleId="TOC5">
    <w:name w:val="toc 5"/>
    <w:basedOn w:val="Normal"/>
    <w:next w:val="Normal"/>
    <w:autoRedefine/>
    <w:uiPriority w:val="39"/>
    <w:unhideWhenUsed/>
    <w:rsid w:val="00CE7188"/>
    <w:pPr>
      <w:ind w:left="720"/>
    </w:pPr>
    <w:rPr>
      <w:rFonts w:asciiTheme="minorHAnsi" w:hAnsiTheme="minorHAnsi"/>
      <w:sz w:val="20"/>
      <w:szCs w:val="20"/>
    </w:rPr>
  </w:style>
  <w:style w:type="paragraph" w:styleId="TOC6">
    <w:name w:val="toc 6"/>
    <w:basedOn w:val="Normal"/>
    <w:next w:val="Normal"/>
    <w:autoRedefine/>
    <w:uiPriority w:val="39"/>
    <w:unhideWhenUsed/>
    <w:rsid w:val="00CE7188"/>
    <w:pPr>
      <w:ind w:left="960"/>
    </w:pPr>
    <w:rPr>
      <w:rFonts w:asciiTheme="minorHAnsi" w:hAnsiTheme="minorHAnsi"/>
      <w:sz w:val="20"/>
      <w:szCs w:val="20"/>
    </w:rPr>
  </w:style>
  <w:style w:type="paragraph" w:styleId="TOC7">
    <w:name w:val="toc 7"/>
    <w:basedOn w:val="Normal"/>
    <w:next w:val="Normal"/>
    <w:autoRedefine/>
    <w:uiPriority w:val="39"/>
    <w:unhideWhenUsed/>
    <w:rsid w:val="00CE7188"/>
    <w:pPr>
      <w:ind w:left="1200"/>
    </w:pPr>
    <w:rPr>
      <w:rFonts w:asciiTheme="minorHAnsi" w:hAnsiTheme="minorHAnsi"/>
      <w:sz w:val="20"/>
      <w:szCs w:val="20"/>
    </w:rPr>
  </w:style>
  <w:style w:type="paragraph" w:styleId="TOC8">
    <w:name w:val="toc 8"/>
    <w:basedOn w:val="Normal"/>
    <w:next w:val="Normal"/>
    <w:autoRedefine/>
    <w:uiPriority w:val="39"/>
    <w:unhideWhenUsed/>
    <w:rsid w:val="00CE7188"/>
    <w:pPr>
      <w:ind w:left="1440"/>
    </w:pPr>
    <w:rPr>
      <w:rFonts w:asciiTheme="minorHAnsi" w:hAnsiTheme="minorHAnsi"/>
      <w:sz w:val="20"/>
      <w:szCs w:val="20"/>
    </w:rPr>
  </w:style>
  <w:style w:type="paragraph" w:styleId="TOC9">
    <w:name w:val="toc 9"/>
    <w:basedOn w:val="Normal"/>
    <w:next w:val="Normal"/>
    <w:autoRedefine/>
    <w:uiPriority w:val="39"/>
    <w:unhideWhenUsed/>
    <w:rsid w:val="00CE7188"/>
    <w:pPr>
      <w:ind w:left="1680"/>
    </w:pPr>
    <w:rPr>
      <w:rFonts w:asciiTheme="minorHAnsi" w:hAnsiTheme="minorHAnsi"/>
      <w:sz w:val="20"/>
      <w:szCs w:val="20"/>
    </w:rPr>
  </w:style>
  <w:style w:type="character" w:styleId="Hyperlink">
    <w:name w:val="Hyperlink"/>
    <w:basedOn w:val="DefaultParagraphFont"/>
    <w:uiPriority w:val="99"/>
    <w:unhideWhenUsed/>
    <w:rsid w:val="00CE7188"/>
    <w:rPr>
      <w:color w:val="0563C1" w:themeColor="hyperlink"/>
      <w:u w:val="single"/>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2D45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575"/>
    <w:rPr>
      <w:rFonts w:ascii="Segoe UI" w:hAnsi="Segoe UI" w:cs="Segoe UI"/>
      <w:sz w:val="18"/>
      <w:szCs w:val="18"/>
    </w:rPr>
  </w:style>
  <w:style w:type="paragraph" w:styleId="Bibliography">
    <w:name w:val="Bibliography"/>
    <w:basedOn w:val="Normal"/>
    <w:next w:val="Normal"/>
    <w:uiPriority w:val="37"/>
    <w:unhideWhenUsed/>
    <w:rsid w:val="00D3712C"/>
    <w:pPr>
      <w:ind w:left="720" w:hanging="720"/>
    </w:pPr>
    <w:rPr>
      <w:noProof/>
    </w:rPr>
  </w:style>
  <w:style w:type="character" w:styleId="SubtleEmphasis">
    <w:name w:val="Subtle Emphasis"/>
    <w:basedOn w:val="DefaultParagraphFont"/>
    <w:uiPriority w:val="19"/>
    <w:qFormat/>
    <w:rsid w:val="00CC27DB"/>
    <w:rPr>
      <w:i/>
      <w:iCs/>
      <w:color w:val="404040" w:themeColor="text1" w:themeTint="BF"/>
    </w:rPr>
  </w:style>
  <w:style w:type="paragraph" w:styleId="ListParagraph">
    <w:name w:val="List Paragraph"/>
    <w:basedOn w:val="Normal"/>
    <w:uiPriority w:val="34"/>
    <w:qFormat/>
    <w:rsid w:val="000E2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16/j.watres.2016.08.031" TargetMode="External"/><Relationship Id="rId26" Type="http://schemas.openxmlformats.org/officeDocument/2006/relationships/hyperlink" Target="https://doi.org/10.1016/j.chemosphere.2011.01.018" TargetMode="External"/><Relationship Id="rId3" Type="http://schemas.openxmlformats.org/officeDocument/2006/relationships/settings" Target="settings.xml"/><Relationship Id="rId21" Type="http://schemas.openxmlformats.org/officeDocument/2006/relationships/hyperlink" Target="https://www.canada.ca/content/dam/hc-sc/documents/programs/consultation-organic-matter-drinking-water/NOM20190129-eng.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2.gov.bc.ca/gov/content/governments/organizational-structure/ministries-organizations/ministries/environment-climate-change" TargetMode="External"/><Relationship Id="rId25" Type="http://schemas.openxmlformats.org/officeDocument/2006/relationships/hyperlink" Target="https://doi.org/doi:10.1046/j.1365-2427.1997.d01-539.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standardmethods.org/" TargetMode="External"/><Relationship Id="rId29" Type="http://schemas.openxmlformats.org/officeDocument/2006/relationships/hyperlink" Target="https://www.jstor.org/stable/247029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16/j.chemosphere.2015.03.039"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jstor.org/stable/40058211" TargetMode="External"/><Relationship Id="rId28" Type="http://schemas.openxmlformats.org/officeDocument/2006/relationships/hyperlink" Target="https://doi.org/10.1007/sl0533-010-9416-7" TargetMode="External"/><Relationship Id="rId10" Type="http://schemas.openxmlformats.org/officeDocument/2006/relationships/image" Target="media/image4.png"/><Relationship Id="rId19" Type="http://schemas.openxmlformats.org/officeDocument/2006/relationships/hyperlink" Target="http://scholar.google.com/scholar?hl=en%7b\&amp;%7dbtnG=Search%7b\&amp;%7dq=intitle:Running+Pure%7b\" TargetMode="External"/><Relationship Id="rId31" Type="http://schemas.openxmlformats.org/officeDocument/2006/relationships/hyperlink" Target="https://doi.org/10.1007/s11356-015-4078-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anada.ca/en/health-canada/services/healthy-living/your-health/environment/drinking-water-chlorination.html" TargetMode="External"/><Relationship Id="rId27" Type="http://schemas.openxmlformats.org/officeDocument/2006/relationships/hyperlink" Target="https://www.for.gov.bc.ca/hfd/pubs/docs/lmh/Lmh66/LMH66%7b\_%7dvolume2of2.pdf" TargetMode="External"/><Relationship Id="rId30" Type="http://schemas.openxmlformats.org/officeDocument/2006/relationships/hyperlink" Target="https://doi.org/10.1016/j.mrrev.2007.0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Reproducible data analysis: thesis data analysis and visualization</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data analysis: thesis data analysis and visualization</dc:title>
  <dc:creator>Hannah J McSorley</dc:creator>
  <cp:keywords/>
  <cp:lastModifiedBy>Hannah McSorley</cp:lastModifiedBy>
  <cp:revision>5</cp:revision>
  <dcterms:created xsi:type="dcterms:W3CDTF">2020-02-01T06:31:00Z</dcterms:created>
  <dcterms:modified xsi:type="dcterms:W3CDTF">2020-02-01T06:48:00Z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2020-01-31</vt:lpwstr>
  </property>
  <property fmtid="{D5CDD505-2E9C-101B-9397-08002B2CF9AE}" pid="4" name="output">
    <vt:lpwstr/>
  </property>
  <property fmtid="{D5CDD505-2E9C-101B-9397-08002B2CF9AE}" pid="5" name="subtitle">
    <vt:lpwstr>Pacific Maritime forWater Masters Project (NSERC forWater)</vt:lpwstr>
  </property>
</Properties>
</file>