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BB990">
      <w:pPr>
        <w:adjustRightInd w:val="0"/>
        <w:snapToGrid w:val="0"/>
        <w:jc w:val="both"/>
        <w:rPr>
          <w:rFonts w:ascii="Times New Roman" w:hAnsi="Times New Roman" w:cs="Times New Roman"/>
          <w:sz w:val="24"/>
        </w:rPr>
      </w:pPr>
      <w:r>
        <w:rPr>
          <w:rFonts w:ascii="Times New Roman" w:hAnsi="Times New Roman" w:cs="Times New Roman"/>
          <w:sz w:val="24"/>
        </w:rPr>
        <w:t>Reviews</w:t>
      </w:r>
    </w:p>
    <w:p w14:paraId="0FDAB031">
      <w:pPr>
        <w:adjustRightInd w:val="0"/>
        <w:snapToGrid w:val="0"/>
        <w:jc w:val="both"/>
        <w:rPr>
          <w:rFonts w:ascii="Times New Roman" w:hAnsi="Times New Roman" w:cs="Times New Roman"/>
          <w:sz w:val="24"/>
        </w:rPr>
      </w:pPr>
      <w:r>
        <w:rPr>
          <w:rFonts w:ascii="Times New Roman" w:hAnsi="Times New Roman" w:cs="Times New Roman"/>
          <w:sz w:val="24"/>
          <w:highlight w:val="yellow"/>
        </w:rPr>
        <w:t>Review 1</w:t>
      </w:r>
    </w:p>
    <w:p w14:paraId="53A60A56">
      <w:pPr>
        <w:adjustRightInd w:val="0"/>
        <w:snapToGrid w:val="0"/>
        <w:jc w:val="both"/>
        <w:rPr>
          <w:rFonts w:ascii="Times New Roman" w:hAnsi="Times New Roman" w:cs="Times New Roman"/>
          <w:sz w:val="24"/>
        </w:rPr>
      </w:pPr>
      <w:r>
        <w:rPr>
          <w:rFonts w:ascii="Times New Roman" w:hAnsi="Times New Roman" w:cs="Times New Roman"/>
          <w:sz w:val="24"/>
        </w:rPr>
        <w:t>Overall evaluation</w:t>
      </w:r>
      <w:r>
        <w:rPr>
          <w:rFonts w:ascii="Times New Roman" w:hAnsi="Times New Roman" w:cs="Times New Roman"/>
          <w:sz w:val="24"/>
        </w:rPr>
        <w:tab/>
      </w:r>
    </w:p>
    <w:p w14:paraId="23E76A79">
      <w:pPr>
        <w:adjustRightInd w:val="0"/>
        <w:snapToGrid w:val="0"/>
        <w:jc w:val="both"/>
        <w:rPr>
          <w:rFonts w:ascii="Times New Roman" w:hAnsi="Times New Roman" w:cs="Times New Roman"/>
          <w:sz w:val="24"/>
        </w:rPr>
      </w:pPr>
      <w:r>
        <w:rPr>
          <w:rFonts w:ascii="Times New Roman" w:hAnsi="Times New Roman" w:cs="Times New Roman"/>
          <w:sz w:val="24"/>
        </w:rPr>
        <w:t>-2: reject</w:t>
      </w:r>
    </w:p>
    <w:p w14:paraId="7FEC66A4">
      <w:pPr>
        <w:adjustRightInd w:val="0"/>
        <w:snapToGrid w:val="0"/>
        <w:jc w:val="both"/>
        <w:rPr>
          <w:rFonts w:ascii="Times New Roman" w:hAnsi="Times New Roman" w:cs="Times New Roman"/>
          <w:sz w:val="24"/>
        </w:rPr>
      </w:pPr>
      <w:r>
        <w:rPr>
          <w:rFonts w:ascii="Times New Roman" w:hAnsi="Times New Roman" w:cs="Times New Roman"/>
          <w:sz w:val="24"/>
        </w:rPr>
        <w:t>This paper applies large language models and RAG techniques to SOC alert analysis. However, the current submission suffers from issues in presentation, clarity, and technical depth that limit its suitability for publication.</w:t>
      </w:r>
    </w:p>
    <w:p w14:paraId="2B2A94BF">
      <w:pPr>
        <w:adjustRightInd w:val="0"/>
        <w:snapToGrid w:val="0"/>
        <w:jc w:val="both"/>
        <w:rPr>
          <w:rFonts w:ascii="Times New Roman" w:hAnsi="Times New Roman" w:cs="Times New Roman"/>
          <w:sz w:val="24"/>
        </w:rPr>
      </w:pPr>
    </w:p>
    <w:p w14:paraId="1B991DE9">
      <w:pPr>
        <w:adjustRightInd w:val="0"/>
        <w:snapToGrid w:val="0"/>
        <w:jc w:val="both"/>
        <w:rPr>
          <w:rFonts w:ascii="Times New Roman" w:hAnsi="Times New Roman" w:cs="Times New Roman"/>
          <w:sz w:val="24"/>
        </w:rPr>
      </w:pPr>
      <w:r>
        <w:rPr>
          <w:rFonts w:ascii="Times New Roman" w:hAnsi="Times New Roman" w:cs="Times New Roman"/>
          <w:sz w:val="24"/>
        </w:rPr>
        <w:t>In the introduction, statements such as *“LLM’s breakthrough in semantic understanding and RAG’s external knowledge integration offer solutions”* are vague and do not clearly explain what specific problems are being solved or how these techniques address SOC alert analysis challenges. The first two paragraphs largely restate the abstract without providing additional motivation or insight. Several abbreviations (e.g., SOC) are not defined at first use.</w:t>
      </w:r>
    </w:p>
    <w:p w14:paraId="5C1D21CD">
      <w:pPr>
        <w:adjustRightInd w:val="0"/>
        <w:snapToGrid w:val="0"/>
        <w:jc w:val="both"/>
        <w:rPr>
          <w:rFonts w:ascii="Times New Roman" w:hAnsi="Times New Roman" w:cs="Times New Roman"/>
          <w:sz w:val="24"/>
        </w:rPr>
      </w:pPr>
    </w:p>
    <w:p w14:paraId="64A68B1D">
      <w:pPr>
        <w:adjustRightInd w:val="0"/>
        <w:snapToGrid w:val="0"/>
        <w:jc w:val="both"/>
        <w:rPr>
          <w:rFonts w:ascii="Times New Roman" w:hAnsi="Times New Roman" w:cs="Times New Roman"/>
          <w:sz w:val="24"/>
        </w:rPr>
      </w:pPr>
      <w:r>
        <w:rPr>
          <w:rFonts w:ascii="Times New Roman" w:hAnsi="Times New Roman" w:cs="Times New Roman"/>
          <w:sz w:val="24"/>
        </w:rPr>
        <w:t>The paper's main contributions are not clearly articulated. After reading the introduction, it remains unclear what the core technical innovation is beyond integrating existing LLM, RAG, and workflow concepts. The listed contributions are high-level and largely descriptive, making it difficult to distinguish novelty from system integration or engineering effort.</w:t>
      </w:r>
    </w:p>
    <w:p w14:paraId="6433C8FA">
      <w:pPr>
        <w:adjustRightInd w:val="0"/>
        <w:snapToGrid w:val="0"/>
        <w:jc w:val="both"/>
        <w:rPr>
          <w:rFonts w:ascii="Times New Roman" w:hAnsi="Times New Roman" w:cs="Times New Roman"/>
          <w:sz w:val="24"/>
        </w:rPr>
      </w:pPr>
    </w:p>
    <w:p w14:paraId="31B1F8CF">
      <w:pPr>
        <w:adjustRightInd w:val="0"/>
        <w:snapToGrid w:val="0"/>
        <w:jc w:val="both"/>
        <w:rPr>
          <w:rFonts w:ascii="Times New Roman" w:hAnsi="Times New Roman" w:cs="Times New Roman"/>
          <w:sz w:val="24"/>
        </w:rPr>
      </w:pPr>
      <w:r>
        <w:rPr>
          <w:rFonts w:ascii="Times New Roman" w:hAnsi="Times New Roman" w:cs="Times New Roman"/>
          <w:sz w:val="24"/>
        </w:rPr>
        <w:t>The related work section is weak. It mainly lists prior studies without sufficient analysis, comparison, or positioning of this work relative to existing approaches in alert analysis, SOAR systems, or LLM-based security analytics.</w:t>
      </w:r>
    </w:p>
    <w:p w14:paraId="13A2FCD0">
      <w:pPr>
        <w:adjustRightInd w:val="0"/>
        <w:snapToGrid w:val="0"/>
        <w:jc w:val="both"/>
        <w:rPr>
          <w:rFonts w:ascii="Times New Roman" w:hAnsi="Times New Roman" w:cs="Times New Roman"/>
          <w:sz w:val="24"/>
        </w:rPr>
      </w:pPr>
    </w:p>
    <w:p w14:paraId="6EC96258">
      <w:pPr>
        <w:adjustRightInd w:val="0"/>
        <w:snapToGrid w:val="0"/>
        <w:jc w:val="both"/>
        <w:rPr>
          <w:rFonts w:ascii="Times New Roman" w:hAnsi="Times New Roman" w:cs="Times New Roman"/>
          <w:sz w:val="24"/>
        </w:rPr>
      </w:pPr>
      <w:r>
        <w:rPr>
          <w:rFonts w:ascii="Times New Roman" w:hAnsi="Times New Roman" w:cs="Times New Roman"/>
          <w:sz w:val="24"/>
        </w:rPr>
        <w:t>The technical sections lack coherence and appropriate depth. Section 3 is very brief and appears to function as background rather than a substantive contribution. In Section 4, the design discussion is overly detailed at the engineering level, while the underlying design principles and advantages of the proposed framework are not clearly explained. Sections 4.2–4.4 primarily describe implementation details rather than research insights.</w:t>
      </w:r>
    </w:p>
    <w:p w14:paraId="3ECEBF4F">
      <w:pPr>
        <w:adjustRightInd w:val="0"/>
        <w:snapToGrid w:val="0"/>
        <w:jc w:val="both"/>
        <w:rPr>
          <w:rFonts w:ascii="Times New Roman" w:hAnsi="Times New Roman" w:cs="Times New Roman"/>
          <w:sz w:val="24"/>
        </w:rPr>
      </w:pPr>
    </w:p>
    <w:p w14:paraId="1C8DFE90">
      <w:pPr>
        <w:adjustRightInd w:val="0"/>
        <w:snapToGrid w:val="0"/>
        <w:jc w:val="both"/>
        <w:rPr>
          <w:rFonts w:ascii="Times New Roman" w:hAnsi="Times New Roman" w:cs="Times New Roman"/>
          <w:sz w:val="24"/>
        </w:rPr>
      </w:pPr>
      <w:r>
        <w:rPr>
          <w:rFonts w:ascii="Times New Roman" w:hAnsi="Times New Roman" w:cs="Times New Roman"/>
          <w:sz w:val="24"/>
        </w:rPr>
        <w:t>The experimental section provides limited analysis of the results. While many metrics are reported, their implications are not well discussed. In addition, figures and tables are oversized and negatively affect readability. The manuscript also contains unremoved sections such as "Acknowledgments" and "Disclosure of Interests", indicating insufficient polishing.</w:t>
      </w:r>
    </w:p>
    <w:p w14:paraId="0E6B8B05">
      <w:pPr>
        <w:adjustRightInd w:val="0"/>
        <w:snapToGrid w:val="0"/>
        <w:jc w:val="both"/>
        <w:rPr>
          <w:rFonts w:ascii="Times New Roman" w:hAnsi="Times New Roman" w:cs="Times New Roman"/>
          <w:sz w:val="24"/>
        </w:rPr>
      </w:pPr>
      <w:r>
        <w:rPr>
          <w:rFonts w:ascii="Times New Roman" w:hAnsi="Times New Roman" w:cs="Times New Roman"/>
          <w:sz w:val="24"/>
          <w:highlight w:val="yellow"/>
        </w:rPr>
        <w:t>Review 2</w:t>
      </w:r>
    </w:p>
    <w:p w14:paraId="4EC0F4D7">
      <w:pPr>
        <w:adjustRightInd w:val="0"/>
        <w:snapToGrid w:val="0"/>
        <w:jc w:val="both"/>
        <w:rPr>
          <w:rFonts w:ascii="Times New Roman" w:hAnsi="Times New Roman" w:cs="Times New Roman"/>
          <w:sz w:val="24"/>
        </w:rPr>
      </w:pPr>
      <w:r>
        <w:rPr>
          <w:rFonts w:ascii="Times New Roman" w:hAnsi="Times New Roman" w:cs="Times New Roman"/>
          <w:sz w:val="24"/>
        </w:rPr>
        <w:t>Overall evaluation</w:t>
      </w:r>
      <w:r>
        <w:rPr>
          <w:rFonts w:ascii="Times New Roman" w:hAnsi="Times New Roman" w:cs="Times New Roman"/>
          <w:sz w:val="24"/>
        </w:rPr>
        <w:tab/>
      </w:r>
    </w:p>
    <w:p w14:paraId="5B7DB485">
      <w:pPr>
        <w:adjustRightInd w:val="0"/>
        <w:snapToGrid w:val="0"/>
        <w:jc w:val="both"/>
        <w:rPr>
          <w:rFonts w:ascii="Times New Roman" w:hAnsi="Times New Roman" w:cs="Times New Roman"/>
          <w:sz w:val="24"/>
        </w:rPr>
      </w:pPr>
      <w:r>
        <w:rPr>
          <w:rFonts w:ascii="Times New Roman" w:hAnsi="Times New Roman" w:cs="Times New Roman"/>
          <w:sz w:val="24"/>
        </w:rPr>
        <w:t>-3: strong reject</w:t>
      </w:r>
    </w:p>
    <w:p w14:paraId="0083390C">
      <w:pPr>
        <w:adjustRightInd w:val="0"/>
        <w:snapToGrid w:val="0"/>
        <w:jc w:val="both"/>
        <w:rPr>
          <w:rFonts w:ascii="Times New Roman" w:hAnsi="Times New Roman" w:cs="Times New Roman"/>
          <w:sz w:val="24"/>
        </w:rPr>
      </w:pPr>
      <w:r>
        <w:rPr>
          <w:rFonts w:ascii="Times New Roman" w:hAnsi="Times New Roman" w:cs="Times New Roman"/>
          <w:sz w:val="24"/>
        </w:rPr>
        <w:t>This paper proposes a multi-agent system for network alert analysis. Overall, this is a subpar paper, not only in terms of technical contributions but also from a presentation perspective. Many details of the solution design are not explained.</w:t>
      </w:r>
    </w:p>
    <w:p w14:paraId="453035F6">
      <w:pPr>
        <w:adjustRightInd w:val="0"/>
        <w:snapToGrid w:val="0"/>
        <w:jc w:val="both"/>
        <w:rPr>
          <w:rFonts w:ascii="Times New Roman" w:hAnsi="Times New Roman" w:cs="Times New Roman"/>
          <w:sz w:val="24"/>
        </w:rPr>
      </w:pPr>
    </w:p>
    <w:p w14:paraId="6592E579">
      <w:pPr>
        <w:adjustRightInd w:val="0"/>
        <w:snapToGrid w:val="0"/>
        <w:jc w:val="both"/>
        <w:rPr>
          <w:rFonts w:ascii="Times New Roman" w:hAnsi="Times New Roman" w:cs="Times New Roman"/>
          <w:sz w:val="24"/>
        </w:rPr>
      </w:pPr>
      <w:r>
        <w:rPr>
          <w:rFonts w:ascii="Times New Roman" w:hAnsi="Times New Roman" w:cs="Times New Roman"/>
          <w:sz w:val="24"/>
        </w:rPr>
        <w:t>Most importantly, I found several non-existent/hallucinated papers in the list of references. For these papers, the given DOIs are either invalid or point to different papers.</w:t>
      </w:r>
    </w:p>
    <w:p w14:paraId="4F7A46B8">
      <w:pPr>
        <w:adjustRightInd w:val="0"/>
        <w:snapToGrid w:val="0"/>
        <w:jc w:val="both"/>
        <w:rPr>
          <w:rFonts w:ascii="Times New Roman" w:hAnsi="Times New Roman" w:cs="Times New Roman"/>
          <w:sz w:val="24"/>
        </w:rPr>
      </w:pPr>
    </w:p>
    <w:p w14:paraId="20F7F309">
      <w:pPr>
        <w:adjustRightInd w:val="0"/>
        <w:snapToGrid w:val="0"/>
        <w:jc w:val="both"/>
        <w:rPr>
          <w:rFonts w:ascii="Times New Roman" w:hAnsi="Times New Roman" w:cs="Times New Roman"/>
          <w:sz w:val="24"/>
        </w:rPr>
      </w:pPr>
      <w:r>
        <w:rPr>
          <w:rFonts w:ascii="Times New Roman" w:hAnsi="Times New Roman" w:cs="Times New Roman"/>
          <w:sz w:val="24"/>
        </w:rPr>
        <w:t>- Khraisat, A., Gondal, I., &amp; Vamplew, P. (2021). A survey of intrusion detection systems:</w:t>
      </w:r>
    </w:p>
    <w:p w14:paraId="63337337">
      <w:pPr>
        <w:adjustRightInd w:val="0"/>
        <w:snapToGrid w:val="0"/>
        <w:jc w:val="both"/>
        <w:rPr>
          <w:rFonts w:ascii="Times New Roman" w:hAnsi="Times New Roman" w:cs="Times New Roman"/>
          <w:sz w:val="24"/>
        </w:rPr>
      </w:pPr>
      <w:r>
        <w:rPr>
          <w:rFonts w:ascii="Times New Roman" w:hAnsi="Times New Roman" w:cs="Times New Roman"/>
          <w:sz w:val="24"/>
        </w:rPr>
        <w:t>Techniques and future directions. Information Fusion, 67, 15–33. https://doi.org/10.1016/j.inffus.2020.11.009 - Google or Google Scholar doesn't return a paper like this, and the DOI refers to a completely different work.</w:t>
      </w:r>
    </w:p>
    <w:p w14:paraId="47D7E1BE">
      <w:pPr>
        <w:adjustRightInd w:val="0"/>
        <w:snapToGrid w:val="0"/>
        <w:jc w:val="both"/>
        <w:rPr>
          <w:rFonts w:ascii="Times New Roman" w:hAnsi="Times New Roman" w:cs="Times New Roman"/>
          <w:sz w:val="24"/>
        </w:rPr>
      </w:pPr>
    </w:p>
    <w:p w14:paraId="3FFC0AEB">
      <w:pPr>
        <w:adjustRightInd w:val="0"/>
        <w:snapToGrid w:val="0"/>
        <w:jc w:val="both"/>
        <w:rPr>
          <w:rFonts w:ascii="Times New Roman" w:hAnsi="Times New Roman" w:cs="Times New Roman"/>
          <w:sz w:val="24"/>
        </w:rPr>
      </w:pPr>
      <w:r>
        <w:rPr>
          <w:rFonts w:ascii="Times New Roman" w:hAnsi="Times New Roman" w:cs="Times New Roman"/>
          <w:sz w:val="24"/>
        </w:rPr>
        <w:t>- Karpukhin, V., Lozhkov, E., Dwivedi, N., et al. (2020). Retrieval-augmented generation for</w:t>
      </w:r>
    </w:p>
    <w:p w14:paraId="433BAB7E">
      <w:pPr>
        <w:adjustRightInd w:val="0"/>
        <w:snapToGrid w:val="0"/>
        <w:jc w:val="both"/>
        <w:rPr>
          <w:rFonts w:ascii="Times New Roman" w:hAnsi="Times New Roman" w:cs="Times New Roman"/>
          <w:sz w:val="24"/>
        </w:rPr>
      </w:pPr>
      <w:r>
        <w:rPr>
          <w:rFonts w:ascii="Times New Roman" w:hAnsi="Times New Roman" w:cs="Times New Roman"/>
          <w:sz w:val="24"/>
        </w:rPr>
        <w:t>knowledge-intensive NLP tasks. In Advances in Neural Information Processing Systems</w:t>
      </w:r>
    </w:p>
    <w:p w14:paraId="632EDD9C">
      <w:pPr>
        <w:adjustRightInd w:val="0"/>
        <w:snapToGrid w:val="0"/>
        <w:jc w:val="both"/>
        <w:rPr>
          <w:rFonts w:ascii="Times New Roman" w:hAnsi="Times New Roman" w:cs="Times New Roman"/>
          <w:sz w:val="24"/>
        </w:rPr>
      </w:pPr>
      <w:r>
        <w:rPr>
          <w:rFonts w:ascii="Times New Roman" w:hAnsi="Times New Roman" w:cs="Times New Roman"/>
          <w:sz w:val="24"/>
        </w:rPr>
        <w:t>(Vol. 33, pp. 5684–5695). Curran Associates, Inc. - There is a NeurIPS paper with this title, but the authors are Lewis et al., and only Karpukhin is listed as an author in that paper. Furthermore, the claim the authors make from this paper, "92.18% professional context recall [7]", I don't think the paper says anything like that.</w:t>
      </w:r>
    </w:p>
    <w:p w14:paraId="17F88589">
      <w:pPr>
        <w:adjustRightInd w:val="0"/>
        <w:snapToGrid w:val="0"/>
        <w:jc w:val="both"/>
        <w:rPr>
          <w:rFonts w:ascii="Times New Roman" w:hAnsi="Times New Roman" w:cs="Times New Roman"/>
          <w:sz w:val="24"/>
        </w:rPr>
      </w:pPr>
    </w:p>
    <w:p w14:paraId="3427A6C5">
      <w:pPr>
        <w:adjustRightInd w:val="0"/>
        <w:snapToGrid w:val="0"/>
        <w:jc w:val="both"/>
        <w:rPr>
          <w:rFonts w:ascii="Times New Roman" w:hAnsi="Times New Roman" w:cs="Times New Roman"/>
          <w:sz w:val="24"/>
        </w:rPr>
      </w:pPr>
      <w:r>
        <w:rPr>
          <w:rFonts w:ascii="Times New Roman" w:hAnsi="Times New Roman" w:cs="Times New Roman"/>
          <w:sz w:val="24"/>
        </w:rPr>
        <w:t>- Kruegel, C., Toth, T., &amp; Kirda, E. (2005). Statistical anomaly detection for computer security. Springer - No such paper or book</w:t>
      </w:r>
    </w:p>
    <w:p w14:paraId="7035B0C6">
      <w:pPr>
        <w:adjustRightInd w:val="0"/>
        <w:snapToGrid w:val="0"/>
        <w:jc w:val="both"/>
        <w:rPr>
          <w:rFonts w:ascii="Times New Roman" w:hAnsi="Times New Roman" w:cs="Times New Roman"/>
          <w:sz w:val="24"/>
        </w:rPr>
      </w:pPr>
    </w:p>
    <w:p w14:paraId="56CB9AA2">
      <w:pPr>
        <w:adjustRightInd w:val="0"/>
        <w:snapToGrid w:val="0"/>
        <w:jc w:val="both"/>
        <w:rPr>
          <w:rFonts w:ascii="Times New Roman" w:hAnsi="Times New Roman" w:cs="Times New Roman"/>
          <w:sz w:val="24"/>
        </w:rPr>
      </w:pPr>
      <w:r>
        <w:rPr>
          <w:rFonts w:ascii="Times New Roman" w:hAnsi="Times New Roman" w:cs="Times New Roman"/>
          <w:sz w:val="24"/>
        </w:rPr>
        <w:t>- Xiao, X., Li, Y., Chen, X., et al. (2020). Interactive alert triage system for network security</w:t>
      </w:r>
    </w:p>
    <w:p w14:paraId="5BF818AF">
      <w:pPr>
        <w:adjustRightInd w:val="0"/>
        <w:snapToGrid w:val="0"/>
        <w:jc w:val="both"/>
        <w:rPr>
          <w:rFonts w:ascii="Times New Roman" w:hAnsi="Times New Roman" w:cs="Times New Roman"/>
          <w:sz w:val="24"/>
        </w:rPr>
      </w:pPr>
      <w:r>
        <w:rPr>
          <w:rFonts w:ascii="Times New Roman" w:hAnsi="Times New Roman" w:cs="Times New Roman"/>
          <w:sz w:val="24"/>
        </w:rPr>
        <w:t>operations. IEEE Transactions on Dependable and Secure Computing, 17(3), 612–625.</w:t>
      </w:r>
    </w:p>
    <w:p w14:paraId="57D7D7A0">
      <w:pPr>
        <w:adjustRightInd w:val="0"/>
        <w:snapToGrid w:val="0"/>
        <w:jc w:val="both"/>
        <w:rPr>
          <w:rFonts w:ascii="Times New Roman" w:hAnsi="Times New Roman" w:cs="Times New Roman"/>
          <w:sz w:val="24"/>
        </w:rPr>
      </w:pPr>
      <w:r>
        <w:rPr>
          <w:rFonts w:ascii="Times New Roman" w:hAnsi="Times New Roman" w:cs="Times New Roman"/>
          <w:sz w:val="24"/>
        </w:rPr>
        <w:t>https://doi.org/10.1109/TDSC.2018.2877344. - No such paper, and the DOI is not found.</w:t>
      </w:r>
    </w:p>
    <w:p w14:paraId="0E77FE1A">
      <w:pPr>
        <w:adjustRightInd w:val="0"/>
        <w:snapToGrid w:val="0"/>
        <w:jc w:val="both"/>
        <w:rPr>
          <w:rFonts w:ascii="Times New Roman" w:hAnsi="Times New Roman" w:cs="Times New Roman"/>
          <w:sz w:val="24"/>
        </w:rPr>
      </w:pPr>
    </w:p>
    <w:p w14:paraId="2C5BF148">
      <w:pPr>
        <w:adjustRightInd w:val="0"/>
        <w:snapToGrid w:val="0"/>
        <w:jc w:val="both"/>
        <w:rPr>
          <w:rFonts w:ascii="Times New Roman" w:hAnsi="Times New Roman" w:cs="Times New Roman"/>
          <w:sz w:val="24"/>
        </w:rPr>
      </w:pPr>
      <w:r>
        <w:rPr>
          <w:rFonts w:ascii="Times New Roman" w:hAnsi="Times New Roman" w:cs="Times New Roman"/>
          <w:sz w:val="24"/>
        </w:rPr>
        <w:t>- Marino, M., Chiappetta, M., D’Angelo, G., et al. (2017). SOAR: A security orchestration,</w:t>
      </w:r>
    </w:p>
    <w:p w14:paraId="5E4415B8">
      <w:pPr>
        <w:adjustRightInd w:val="0"/>
        <w:snapToGrid w:val="0"/>
        <w:jc w:val="both"/>
        <w:rPr>
          <w:rFonts w:ascii="Times New Roman" w:hAnsi="Times New Roman" w:cs="Times New Roman"/>
          <w:sz w:val="24"/>
        </w:rPr>
      </w:pPr>
      <w:r>
        <w:rPr>
          <w:rFonts w:ascii="Times New Roman" w:hAnsi="Times New Roman" w:cs="Times New Roman"/>
          <w:sz w:val="24"/>
        </w:rPr>
        <w:t>automation and response approach. In 2017 IEEE CCNC (pp. 1117–1122).</w:t>
      </w:r>
    </w:p>
    <w:p w14:paraId="75022761">
      <w:pPr>
        <w:adjustRightInd w:val="0"/>
        <w:snapToGrid w:val="0"/>
        <w:jc w:val="both"/>
        <w:rPr>
          <w:rFonts w:ascii="Times New Roman" w:hAnsi="Times New Roman" w:cs="Times New Roman"/>
          <w:sz w:val="24"/>
        </w:rPr>
      </w:pPr>
      <w:r>
        <w:rPr>
          <w:rFonts w:ascii="Times New Roman" w:hAnsi="Times New Roman" w:cs="Times New Roman"/>
          <w:sz w:val="24"/>
        </w:rPr>
        <w:t>https://doi.org/10.1109/CCNC.2017.7983185 - No such paper, and the DOI refers to a different paper.</w:t>
      </w:r>
    </w:p>
    <w:p w14:paraId="6EADB7E3">
      <w:pPr>
        <w:adjustRightInd w:val="0"/>
        <w:snapToGrid w:val="0"/>
        <w:jc w:val="both"/>
        <w:rPr>
          <w:rFonts w:ascii="Times New Roman" w:hAnsi="Times New Roman" w:cs="Times New Roman"/>
          <w:sz w:val="24"/>
        </w:rPr>
      </w:pPr>
    </w:p>
    <w:p w14:paraId="19745EDA">
      <w:pPr>
        <w:adjustRightInd w:val="0"/>
        <w:snapToGrid w:val="0"/>
        <w:jc w:val="both"/>
        <w:rPr>
          <w:rFonts w:ascii="Times New Roman" w:hAnsi="Times New Roman" w:cs="Times New Roman"/>
          <w:sz w:val="24"/>
        </w:rPr>
      </w:pPr>
      <w:r>
        <w:rPr>
          <w:rFonts w:ascii="Times New Roman" w:hAnsi="Times New Roman" w:cs="Times New Roman"/>
          <w:sz w:val="24"/>
        </w:rPr>
        <w:t>- Yang, C., Liu, P., Zhang, J., et al. (2021). Alert prioritization using XGBoost with feature</w:t>
      </w:r>
    </w:p>
    <w:p w14:paraId="20678D84">
      <w:pPr>
        <w:adjustRightInd w:val="0"/>
        <w:snapToGrid w:val="0"/>
        <w:jc w:val="both"/>
        <w:rPr>
          <w:rFonts w:ascii="Times New Roman" w:hAnsi="Times New Roman" w:cs="Times New Roman"/>
          <w:sz w:val="24"/>
        </w:rPr>
      </w:pPr>
      <w:r>
        <w:rPr>
          <w:rFonts w:ascii="Times New Roman" w:hAnsi="Times New Roman" w:cs="Times New Roman"/>
          <w:sz w:val="24"/>
        </w:rPr>
        <w:t>engineering for network intrusion detection. Computers &amp; Security, 97, 102071.</w:t>
      </w:r>
    </w:p>
    <w:p w14:paraId="3FACBCE5">
      <w:pPr>
        <w:adjustRightInd w:val="0"/>
        <w:snapToGrid w:val="0"/>
        <w:jc w:val="both"/>
        <w:rPr>
          <w:rFonts w:ascii="Times New Roman" w:hAnsi="Times New Roman" w:cs="Times New Roman"/>
          <w:sz w:val="24"/>
        </w:rPr>
      </w:pPr>
      <w:r>
        <w:rPr>
          <w:rFonts w:ascii="Times New Roman" w:hAnsi="Times New Roman" w:cs="Times New Roman"/>
          <w:sz w:val="24"/>
        </w:rPr>
        <w:t>https://doi.org/10.1016/j.cose.2020.102071 - No such paper, and the DOI refers to a different paper.</w:t>
      </w:r>
    </w:p>
    <w:p w14:paraId="60D78304">
      <w:pPr>
        <w:adjustRightInd w:val="0"/>
        <w:snapToGrid w:val="0"/>
        <w:jc w:val="both"/>
        <w:rPr>
          <w:rFonts w:ascii="Times New Roman" w:hAnsi="Times New Roman" w:cs="Times New Roman"/>
          <w:sz w:val="24"/>
        </w:rPr>
      </w:pPr>
    </w:p>
    <w:p w14:paraId="46CA2AE3">
      <w:pPr>
        <w:adjustRightInd w:val="0"/>
        <w:snapToGrid w:val="0"/>
        <w:jc w:val="both"/>
        <w:rPr>
          <w:rFonts w:ascii="Times New Roman" w:hAnsi="Times New Roman" w:cs="Times New Roman"/>
          <w:sz w:val="24"/>
        </w:rPr>
      </w:pPr>
      <w:r>
        <w:rPr>
          <w:rFonts w:ascii="Times New Roman" w:hAnsi="Times New Roman" w:cs="Times New Roman"/>
          <w:sz w:val="24"/>
        </w:rPr>
        <w:t>- Zhou, H., Sun, Y., Chen, Z., et al. (2024). VulnLLM: A large language model for vulnerability understanding and assessment. arXiv:2401.08277. Retrieved from https://arxiv.org/abs/2401.08277 - No such paper, and the Arxiv link refers to a different paper.</w:t>
      </w:r>
    </w:p>
    <w:p w14:paraId="45027078">
      <w:pPr>
        <w:adjustRightInd w:val="0"/>
        <w:snapToGrid w:val="0"/>
        <w:jc w:val="both"/>
        <w:rPr>
          <w:rFonts w:ascii="Times New Roman" w:hAnsi="Times New Roman" w:cs="Times New Roman"/>
          <w:sz w:val="24"/>
        </w:rPr>
      </w:pPr>
    </w:p>
    <w:p w14:paraId="54DC18A9">
      <w:pPr>
        <w:adjustRightInd w:val="0"/>
        <w:snapToGrid w:val="0"/>
        <w:jc w:val="both"/>
        <w:rPr>
          <w:rFonts w:ascii="Times New Roman" w:hAnsi="Times New Roman" w:cs="Times New Roman"/>
          <w:sz w:val="24"/>
        </w:rPr>
      </w:pPr>
      <w:r>
        <w:rPr>
          <w:rFonts w:ascii="Times New Roman" w:hAnsi="Times New Roman" w:cs="Times New Roman"/>
          <w:sz w:val="24"/>
          <w:highlight w:val="yellow"/>
        </w:rPr>
        <w:t>Review 3</w:t>
      </w:r>
    </w:p>
    <w:p w14:paraId="1AAAEF34">
      <w:pPr>
        <w:adjustRightInd w:val="0"/>
        <w:snapToGrid w:val="0"/>
        <w:jc w:val="both"/>
        <w:rPr>
          <w:rFonts w:ascii="Times New Roman" w:hAnsi="Times New Roman" w:cs="Times New Roman"/>
          <w:sz w:val="24"/>
        </w:rPr>
      </w:pPr>
      <w:r>
        <w:rPr>
          <w:rFonts w:ascii="Times New Roman" w:hAnsi="Times New Roman" w:cs="Times New Roman"/>
          <w:sz w:val="24"/>
        </w:rPr>
        <w:t>Overall evaluation</w:t>
      </w:r>
      <w:r>
        <w:rPr>
          <w:rFonts w:ascii="Times New Roman" w:hAnsi="Times New Roman" w:cs="Times New Roman"/>
          <w:sz w:val="24"/>
        </w:rPr>
        <w:tab/>
      </w:r>
    </w:p>
    <w:p w14:paraId="2AA74F45">
      <w:pPr>
        <w:adjustRightInd w:val="0"/>
        <w:snapToGrid w:val="0"/>
        <w:jc w:val="both"/>
        <w:rPr>
          <w:rFonts w:ascii="Times New Roman" w:hAnsi="Times New Roman" w:cs="Times New Roman"/>
          <w:sz w:val="24"/>
        </w:rPr>
      </w:pPr>
      <w:r>
        <w:rPr>
          <w:rFonts w:ascii="Times New Roman" w:hAnsi="Times New Roman" w:cs="Times New Roman"/>
          <w:sz w:val="24"/>
        </w:rPr>
        <w:t>-1: weak reject</w:t>
      </w:r>
    </w:p>
    <w:p w14:paraId="6F98D870">
      <w:pPr>
        <w:adjustRightInd w:val="0"/>
        <w:snapToGrid w:val="0"/>
        <w:jc w:val="both"/>
        <w:rPr>
          <w:rFonts w:ascii="Times New Roman" w:hAnsi="Times New Roman" w:cs="Times New Roman"/>
          <w:sz w:val="24"/>
        </w:rPr>
      </w:pPr>
      <w:r>
        <w:rPr>
          <w:rFonts w:ascii="Times New Roman" w:hAnsi="Times New Roman" w:cs="Times New Roman"/>
          <w:sz w:val="24"/>
        </w:rPr>
        <w:t>This paper proposes a SOC alert analysis framework based on generative large models and RAG, aiming to replace fixed SOAR workflows with dynamic, intelligent orchestration. The system integrates rule-based detection, machine learning, and LLM-driven reasoning, supported by a vectorized security knowledge base. Experiments on public datasets show high detection accuracy, improved analysis efficiency, and standardized report generation, indicating potential value for large-scale alert handling in SOC environments.</w:t>
      </w:r>
    </w:p>
    <w:p w14:paraId="55B440BD">
      <w:pPr>
        <w:adjustRightInd w:val="0"/>
        <w:snapToGrid w:val="0"/>
        <w:jc w:val="both"/>
        <w:rPr>
          <w:rFonts w:ascii="Times New Roman" w:hAnsi="Times New Roman" w:cs="Times New Roman"/>
          <w:sz w:val="24"/>
        </w:rPr>
      </w:pPr>
    </w:p>
    <w:p w14:paraId="7F247CD4">
      <w:pPr>
        <w:adjustRightInd w:val="0"/>
        <w:snapToGrid w:val="0"/>
        <w:jc w:val="both"/>
        <w:rPr>
          <w:rFonts w:ascii="Times New Roman" w:hAnsi="Times New Roman" w:cs="Times New Roman"/>
          <w:sz w:val="24"/>
        </w:rPr>
      </w:pPr>
      <w:r>
        <w:rPr>
          <w:rFonts w:ascii="Times New Roman" w:hAnsi="Times New Roman" w:cs="Times New Roman"/>
          <w:sz w:val="24"/>
        </w:rPr>
        <w:t>Despite its practical motivation, the paper has several weaknesses.</w:t>
      </w:r>
    </w:p>
    <w:p w14:paraId="35D5DFFB">
      <w:pPr>
        <w:adjustRightInd w:val="0"/>
        <w:snapToGrid w:val="0"/>
        <w:jc w:val="both"/>
        <w:rPr>
          <w:rFonts w:ascii="Times New Roman" w:hAnsi="Times New Roman" w:cs="Times New Roman"/>
          <w:sz w:val="24"/>
        </w:rPr>
      </w:pPr>
      <w:r>
        <w:rPr>
          <w:rFonts w:ascii="Times New Roman" w:hAnsi="Times New Roman" w:cs="Times New Roman"/>
          <w:sz w:val="24"/>
        </w:rPr>
        <w:t>- First, the evaluation of the LLM component is limited. While LLMs are central to the proposed workflow orchestration, their reasoning robustness, stability, and error patterns are not systematically analyzed, and misclassification cases are only briefly discussed.</w:t>
      </w:r>
    </w:p>
    <w:p w14:paraId="68FE6989">
      <w:pPr>
        <w:adjustRightInd w:val="0"/>
        <w:snapToGrid w:val="0"/>
        <w:jc w:val="both"/>
        <w:rPr>
          <w:rFonts w:ascii="Times New Roman" w:hAnsi="Times New Roman" w:cs="Times New Roman"/>
          <w:sz w:val="24"/>
        </w:rPr>
      </w:pPr>
      <w:r>
        <w:rPr>
          <w:rFonts w:ascii="Times New Roman" w:hAnsi="Times New Roman" w:cs="Times New Roman"/>
          <w:sz w:val="24"/>
        </w:rPr>
        <w:t>- Second, the framework relies heavily on predefined and mostly static knowledge sources and public benchmark datasets, which may not adequately represent modern enterprise environments or rapidly evolving and zero-day threats. The generalization ability under knowledge gaps or domain shifts remains unclear.</w:t>
      </w:r>
    </w:p>
    <w:p w14:paraId="49645848">
      <w:pPr>
        <w:adjustRightInd w:val="0"/>
        <w:snapToGrid w:val="0"/>
        <w:jc w:val="both"/>
        <w:rPr>
          <w:rFonts w:ascii="Times New Roman" w:hAnsi="Times New Roman" w:cs="Times New Roman"/>
          <w:sz w:val="24"/>
        </w:rPr>
      </w:pPr>
      <w:r>
        <w:rPr>
          <w:rFonts w:ascii="Times New Roman" w:hAnsi="Times New Roman" w:cs="Times New Roman"/>
          <w:sz w:val="24"/>
        </w:rPr>
        <w:t>- Third, although the paper claims advantages over traditional SOAR systems, it does not provide direct experimental comparisons with existing intelligent or agent-based SOAR platforms, making the actual improvement in workflow adaptability difficult to quantify.</w:t>
      </w:r>
    </w:p>
    <w:p w14:paraId="13DD6FD5">
      <w:pPr>
        <w:adjustRightInd w:val="0"/>
        <w:snapToGrid w:val="0"/>
        <w:jc w:val="both"/>
        <w:rPr>
          <w:rFonts w:ascii="Times New Roman" w:hAnsi="Times New Roman" w:cs="Times New Roman"/>
          <w:sz w:val="24"/>
        </w:rPr>
      </w:pPr>
      <w:r>
        <w:rPr>
          <w:rFonts w:ascii="Times New Roman" w:hAnsi="Times New Roman" w:cs="Times New Roman"/>
          <w:sz w:val="24"/>
        </w:rPr>
        <w:t># 评审意见 ## 评审意见1 综合评价：-2：拒稿 本文将大语言模型与检索增强生成（RAG）技术应用于安全运营中心（SOC）告警分析。但当前稿件在表述、清晰度和技术深度方面存在问题，不适合发表。 引言中，“大语言模型在语义理解上的突破以及检索增强生成的外部知识集成提供了解决方案”等表述较为模糊，未清晰说明本文具体解决了哪些问题，以及这些技术如何应对安全运营中心告警分析的挑战。前两段基本是摘要的复述，未补充额外研究动机或见解。多个缩写（如SOC）首次出现时未进行定义。 本文主要贡献阐述不清。读完引言后，除了将现有大语言模型、检索增强生成与工作流概念进行集成外，读者仍不清楚其核心技术创新点。所列贡献较为宏观、偏描述性，难以区分创新性与系统集成或工程实现工作。 相关工作部分较为薄弱。主要是罗列已有研究，未针对告警分析、安全编排自动化与响应（SOAR）系统或基于大语言模型的安全分析等现有工作展开充分分析、对比与定位。 技术章节缺乏连贯性与合适深度。第3章过于简略，更像是背景介绍而非实质性贡献。第4章在工程实现层面讨论过细，却未清晰说明所提框架的底层设计原理与优势。4.2–4.4节主要描述实现细节，而非研究洞见。 实验部分对结果分析有限。虽然报告了大量指标，但未</w:t>
      </w:r>
      <w:bookmarkStart w:id="0" w:name="_GoBack"/>
      <w:r>
        <w:rPr>
          <w:rFonts w:ascii="Times New Roman" w:hAnsi="Times New Roman" w:cs="Times New Roman"/>
          <w:sz w:val="24"/>
        </w:rPr>
        <w:t>深入讨论其意义</w:t>
      </w:r>
      <w:bookmarkEnd w:id="0"/>
      <w:r>
        <w:rPr>
          <w:rFonts w:ascii="Times New Roman" w:hAnsi="Times New Roman" w:cs="Times New Roman"/>
          <w:sz w:val="24"/>
        </w:rPr>
        <w:t>。此外，图表尺寸过大，影响可读性。稿件中还残留未删除的“致谢”“利益冲突声明”等章节，说明打磨不够充分。</w:t>
      </w:r>
    </w:p>
    <w:p w14:paraId="003D63FD">
      <w:pPr>
        <w:adjustRightInd w:val="0"/>
        <w:snapToGrid w:val="0"/>
        <w:jc w:val="both"/>
        <w:rPr>
          <w:rFonts w:ascii="Times New Roman" w:hAnsi="Times New Roman" w:cs="Times New Roman"/>
          <w:sz w:val="24"/>
        </w:rPr>
      </w:pPr>
      <w:r>
        <w:rPr>
          <w:rFonts w:ascii="Times New Roman" w:hAnsi="Times New Roman" w:cs="Times New Roman"/>
          <w:sz w:val="24"/>
        </w:rPr>
        <w:t xml:space="preserve"> ## 评审意见2 综合评价：-3：坚决拒稿 本文提出一种面向网络告警分析的多智能体系统。整体而言，这是一篇质量较差的论文，无论在技术贡献还是写作表达上均存在明显问题，方案设计的诸多细节未做说明。 最严重的是，我在参考文献列表中发现多篇**不存在/虚构**的论文。这些文献给出的DOI要么无效，要么指向完全不同的论文。 - Khraisat, A., Gondal, I., &amp; Vamplew, P. (2021). A survey of intrusion detection systems: Techniques and future directions. Information Fusion, 67, 15–33. https://doi.org/10.1016/j.inffus.2020.11.009 ——谷歌及谷歌学术均检索不到该论文，此DOI指向另一篇完全不同的工作。 - Karpukhin, V., Lozhkov, E., Dwivedi, N., et al. (2020). Retrieval-augmented generation for knowledge-intensive NLP tasks. In Advances in Neural Information Processing Systems (Vol. 33, pp. 5684–5695). Curran Associates, Inc. ——确实有一篇同标题的NeurIPS论文，但作者为Lewis等人，Karpukhin只是其中一位作者。此外，本文引用该文得出“92.18%专业上下文召回率[7]”，我认为原文中并无此结论。 - Kruegel, C., Toth, T., &amp; Kirda, E. (2005). Statistical anomaly detection for computer security. Springer ——无此论文或书籍。 - Xiao, X., Li, Y., Chen, X., et al. (2020). Interactive alert triage system for network security operations. IEEE Transactions on Dependable and Secure Computing, 17(3), 612–625. https://doi.org/10.1109/TDSC.2018.2877344. ——无此论文，无法检索到该DOI。 - Marino, M., Chiappetta, M., D’Angelo, G., et al. (2017). SOAR: A security orchestration, automation and response approach. In 2017 IEEE CCNC (pp. 1117–1122). https://doi.org/10.1109/CCNC.2017.7983185 ——无此论文，该DOI指向另一篇不同论文。 - Yang, C., Liu, P., Zhang, J., et al. (2021). Alert prioritization using XGBoost with feature engineering for network intrusion detection. Computers &amp; Security, 97, 102071. https://doi.org/10.1016/j.cose.2020.102071 ——无此论文，该DOI指向另一篇不同论文。 - Zhou, H., Sun, Y., Chen, Z., et al. (2024). VulnLLM: A large language model for vulnerability understanding and assessment. arXiv:2401.08277. Retrieved from https://arxiv.org/abs/2401.08277 ——无此论文，该arXiv链接指向另一篇不同论文。 </w:t>
      </w:r>
    </w:p>
    <w:p w14:paraId="6E6E88E4">
      <w:pPr>
        <w:adjustRightInd w:val="0"/>
        <w:snapToGrid w:val="0"/>
        <w:jc w:val="both"/>
        <w:rPr>
          <w:rFonts w:ascii="Times New Roman" w:hAnsi="Times New Roman" w:cs="Times New Roman"/>
          <w:sz w:val="24"/>
        </w:rPr>
      </w:pPr>
      <w:r>
        <w:rPr>
          <w:rFonts w:ascii="Times New Roman" w:hAnsi="Times New Roman" w:cs="Times New Roman"/>
          <w:sz w:val="24"/>
        </w:rPr>
        <w:t>## 评审意见3 综合评价：-1：弱拒稿 本文提出一种基于生成式大模型与检索增强生成的安全运营中心告警分析框架，旨在用动态智能编排替代固定的安全编排自动化与响应工作流。系统集成了基于规则的检测、机器学习与大语言模型驱动推理，并以向量化安全知识库作为支撑。在公开数据集上的实验表明，该方法具有较高检测精度、分析效率提升以及可生成标准化报告，对安全运营中心环境下的大规模告警处理具有潜在价值。 尽管本文具备实际应用动机，但仍存在以下不足： 1. 对大语言模型组件的评估有限。虽然大语言模型是所提工作流编排的核心，但其推理鲁棒性、稳定性与错误模式未得到系统分析，误分类案例仅做了简要讨论。 2. 框架高度依赖预定义且偏静态的知识源与公开基准数据集，难以充分代表现代企业环境或快速演化的零日威胁。在知识缺失或领域偏移情况下的泛化能力尚不明确。 3. 虽然声称优于传统安全编排自动化与响应系统，但未与现有智能型或基于智能体的安全编排自动化与响应平台开展直接实验对比，难以量化工作流自适应能力的实际提升效果。</w:t>
      </w:r>
    </w:p>
    <w:sectPr>
      <w:pgSz w:w="11906" w:h="16838"/>
      <w:pgMar w:top="1440" w:right="1797" w:bottom="1440" w:left="1797" w:header="851" w:footer="992" w:gutter="0"/>
      <w:cols w:space="425" w:num="1"/>
      <w:docGrid w:type="lines" w:linePitch="598"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NotDisplayPageBoundaries w:val="1"/>
  <w:bordersDoNotSurroundHeader w:val="0"/>
  <w:bordersDoNotSurroundFooter w:val="0"/>
  <w:documentProtection w:enforcement="0"/>
  <w:defaultTabStop w:val="420"/>
  <w:drawingGridHorizontalSpacing w:val="220"/>
  <w:drawingGridVerticalSpacing w:val="29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182"/>
    <w:rsid w:val="000F3224"/>
    <w:rsid w:val="00102B66"/>
    <w:rsid w:val="00115F43"/>
    <w:rsid w:val="001A2149"/>
    <w:rsid w:val="001A70FA"/>
    <w:rsid w:val="001B3F04"/>
    <w:rsid w:val="001C05BA"/>
    <w:rsid w:val="00233255"/>
    <w:rsid w:val="00237229"/>
    <w:rsid w:val="002E5AC0"/>
    <w:rsid w:val="003813B9"/>
    <w:rsid w:val="004C4396"/>
    <w:rsid w:val="004D1797"/>
    <w:rsid w:val="006636C3"/>
    <w:rsid w:val="007335E6"/>
    <w:rsid w:val="009154D4"/>
    <w:rsid w:val="00991136"/>
    <w:rsid w:val="009B5182"/>
    <w:rsid w:val="00A119FE"/>
    <w:rsid w:val="00B22369"/>
    <w:rsid w:val="00B22DA0"/>
    <w:rsid w:val="00B33C0D"/>
    <w:rsid w:val="00B37B19"/>
    <w:rsid w:val="00C47E59"/>
    <w:rsid w:val="00C75E90"/>
    <w:rsid w:val="00C87FDE"/>
    <w:rsid w:val="00CC485B"/>
    <w:rsid w:val="00D84FC3"/>
    <w:rsid w:val="00D90550"/>
    <w:rsid w:val="00DB28FD"/>
    <w:rsid w:val="00ED7D4C"/>
    <w:rsid w:val="00FB1739"/>
    <w:rsid w:val="00FF0B54"/>
    <w:rsid w:val="32C632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1"/>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3"/>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4"/>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6"/>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7"/>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40"/>
    <w:unhideWhenUsed/>
    <w:uiPriority w:val="99"/>
    <w:pPr>
      <w:tabs>
        <w:tab w:val="center" w:pos="4153"/>
        <w:tab w:val="right" w:pos="8306"/>
      </w:tabs>
      <w:snapToGrid w:val="0"/>
      <w:spacing w:line="240" w:lineRule="auto"/>
    </w:pPr>
    <w:rPr>
      <w:sz w:val="18"/>
      <w:szCs w:val="18"/>
    </w:rPr>
  </w:style>
  <w:style w:type="paragraph" w:styleId="12">
    <w:name w:val="header"/>
    <w:basedOn w:val="1"/>
    <w:link w:val="39"/>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31"/>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30"/>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customStyle="1" w:styleId="17">
    <w:name w:val="三线表小四"/>
    <w:basedOn w:val="15"/>
    <w:uiPriority w:val="99"/>
    <w:pPr>
      <w:spacing w:after="0" w:line="240" w:lineRule="auto"/>
    </w:pPr>
    <w:rPr>
      <w:rFonts w:ascii="Times New Roman" w:hAnsi="Times New Roman" w:eastAsia="Times New Roman" w:cs="Times New Roman"/>
      <w:kern w:val="0"/>
      <w:sz w:val="24"/>
      <w:szCs w:val="20"/>
      <w14:ligatures w14:val="none"/>
    </w:rPr>
    <w:tblPr>
      <w:tblBorders>
        <w:top w:val="single" w:color="auto" w:sz="4" w:space="0"/>
        <w:bottom w:val="single" w:color="auto" w:sz="4" w:space="0"/>
      </w:tblBorders>
    </w:tblPr>
    <w:tblStylePr w:type="firstRow">
      <w:pPr>
        <w:wordWrap/>
        <w:snapToGrid w:val="0"/>
      </w:pPr>
      <w:rPr>
        <w:rFonts w:eastAsia="Times New Roman"/>
        <w:sz w:val="24"/>
      </w:rPr>
      <w:tblPr>
        <w:jc w:val="center"/>
      </w:tblPr>
      <w:trPr>
        <w:jc w:val="center"/>
      </w:trPr>
      <w:tcPr>
        <w:tcBorders>
          <w:top w:val="single" w:color="auto" w:sz="4" w:space="0"/>
          <w:left w:val="nil"/>
          <w:bottom w:val="single" w:color="auto" w:sz="4" w:space="0"/>
          <w:right w:val="nil"/>
          <w:insideH w:val="nil"/>
          <w:insideV w:val="nil"/>
          <w:tl2br w:val="nil"/>
          <w:tr2bl w:val="nil"/>
        </w:tcBorders>
        <w:vAlign w:val="center"/>
      </w:tcPr>
    </w:tblStylePr>
  </w:style>
  <w:style w:type="table" w:customStyle="1" w:styleId="18">
    <w:name w:val="样式3"/>
    <w:basedOn w:val="15"/>
    <w:uiPriority w:val="99"/>
    <w:pPr>
      <w:spacing w:after="0" w:line="240" w:lineRule="auto"/>
    </w:pPr>
    <w:rPr>
      <w:rFonts w:ascii="Times New Roman" w:hAnsi="Times New Roman" w:eastAsia="Times New Roman" w:cs="Times New Roman"/>
      <w:kern w:val="0"/>
      <w:sz w:val="24"/>
      <w:szCs w:val="20"/>
      <w14:ligatures w14:val="none"/>
    </w:rPr>
    <w:tblPr>
      <w:jc w:val="center"/>
      <w:tblBorders>
        <w:top w:val="single" w:color="auto" w:sz="4" w:space="0"/>
        <w:bottom w:val="single" w:color="auto" w:sz="4" w:space="0"/>
      </w:tblBorders>
    </w:tblPr>
    <w:trPr>
      <w:jc w:val="center"/>
    </w:trPr>
    <w:tblStylePr w:type="firstRow">
      <w:rPr>
        <w:rFonts w:eastAsia="Times New Roman"/>
        <w:sz w:val="24"/>
      </w:rPr>
      <w:tcPr>
        <w:tcBorders>
          <w:top w:val="single" w:color="auto" w:sz="4" w:space="0"/>
          <w:left w:val="nil"/>
          <w:bottom w:val="single" w:color="auto" w:sz="4" w:space="0"/>
          <w:right w:val="nil"/>
          <w:insideH w:val="nil"/>
          <w:insideV w:val="nil"/>
          <w:tl2br w:val="nil"/>
          <w:tr2bl w:val="nil"/>
        </w:tcBorders>
      </w:tcPr>
    </w:tblStylePr>
  </w:style>
  <w:style w:type="table" w:customStyle="1" w:styleId="19">
    <w:name w:val="样式2"/>
    <w:basedOn w:val="15"/>
    <w:uiPriority w:val="99"/>
    <w:pPr>
      <w:spacing w:after="0" w:line="240" w:lineRule="auto"/>
    </w:pPr>
    <w:rPr>
      <w:rFonts w:ascii="Times New Roman" w:hAnsi="Times New Roman" w:eastAsia="Times New Roman" w:cs="Times New Roman"/>
      <w:kern w:val="0"/>
      <w:sz w:val="21"/>
      <w:szCs w:val="20"/>
      <w14:ligatures w14:val="none"/>
    </w:rPr>
    <w:tblPr>
      <w:jc w:val="center"/>
      <w:tblBorders>
        <w:top w:val="single" w:color="auto" w:sz="4" w:space="0"/>
        <w:bottom w:val="single" w:color="auto" w:sz="4" w:space="0"/>
      </w:tblBorders>
    </w:tblPr>
    <w:trPr>
      <w:jc w:val="center"/>
    </w:trPr>
    <w:tblStylePr w:type="firstRow">
      <w:rPr>
        <w:rFonts w:eastAsia="Times New Roman"/>
        <w:sz w:val="21"/>
      </w:rPr>
      <w:tcPr>
        <w:tcBorders>
          <w:top w:val="single" w:color="auto" w:sz="4" w:space="0"/>
          <w:left w:val="nil"/>
          <w:bottom w:val="single" w:color="auto" w:sz="4" w:space="0"/>
          <w:right w:val="nil"/>
          <w:insideH w:val="nil"/>
          <w:insideV w:val="nil"/>
          <w:tl2br w:val="nil"/>
          <w:tr2bl w:val="nil"/>
        </w:tcBorders>
      </w:tcPr>
    </w:tblStylePr>
  </w:style>
  <w:style w:type="table" w:customStyle="1" w:styleId="20">
    <w:name w:val="样式1"/>
    <w:basedOn w:val="15"/>
    <w:uiPriority w:val="99"/>
    <w:pPr>
      <w:spacing w:after="0" w:line="240" w:lineRule="auto"/>
    </w:pPr>
    <w:rPr>
      <w:rFonts w:ascii="Calibri" w:hAnsi="Calibri" w:eastAsia="Times New Roman" w:cs="Times New Roman"/>
      <w:kern w:val="0"/>
      <w:sz w:val="24"/>
      <w:szCs w:val="20"/>
      <w14:ligatures w14:val="none"/>
    </w:rPr>
    <w:tblPr>
      <w:jc w:val="center"/>
      <w:tblBorders>
        <w:top w:val="single" w:color="auto" w:sz="4" w:space="0"/>
        <w:bottom w:val="single" w:color="auto" w:sz="4" w:space="0"/>
      </w:tblBorders>
    </w:tblPr>
    <w:trPr>
      <w:jc w:val="center"/>
    </w:trPr>
    <w:tcPr>
      <w:vAlign w:val="center"/>
    </w:tcPr>
    <w:tblStylePr w:type="firstRow">
      <w:rPr>
        <w:rFonts w:eastAsia="Times New Roman"/>
        <w:sz w:val="24"/>
      </w:rPr>
      <w:tcPr>
        <w:tcBorders>
          <w:top w:val="single" w:color="auto" w:sz="4" w:space="0"/>
          <w:left w:val="nil"/>
          <w:bottom w:val="single" w:color="auto" w:sz="4" w:space="0"/>
          <w:right w:val="nil"/>
          <w:insideH w:val="nil"/>
          <w:insideV w:val="nil"/>
          <w:tl2br w:val="nil"/>
          <w:tr2bl w:val="nil"/>
        </w:tcBorders>
      </w:tcPr>
    </w:tblStylePr>
  </w:style>
  <w:style w:type="character" w:customStyle="1" w:styleId="21">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6"/>
    <w:link w:val="5"/>
    <w:semiHidden/>
    <w:uiPriority w:val="9"/>
    <w:rPr>
      <w:rFonts w:cstheme="majorBidi"/>
      <w:color w:val="104862" w:themeColor="accent1" w:themeShade="BF"/>
      <w:sz w:val="28"/>
      <w:szCs w:val="28"/>
    </w:rPr>
  </w:style>
  <w:style w:type="character" w:customStyle="1" w:styleId="25">
    <w:name w:val="标题 5 字符"/>
    <w:basedOn w:val="16"/>
    <w:link w:val="6"/>
    <w:semiHidden/>
    <w:uiPriority w:val="9"/>
    <w:rPr>
      <w:rFonts w:cstheme="majorBidi"/>
      <w:color w:val="104862" w:themeColor="accent1" w:themeShade="BF"/>
      <w:sz w:val="24"/>
    </w:rPr>
  </w:style>
  <w:style w:type="character" w:customStyle="1" w:styleId="26">
    <w:name w:val="标题 6 字符"/>
    <w:basedOn w:val="16"/>
    <w:link w:val="7"/>
    <w:semiHidden/>
    <w:uiPriority w:val="9"/>
    <w:rPr>
      <w:rFonts w:cstheme="majorBidi"/>
      <w:b/>
      <w:bCs/>
      <w:color w:val="104862" w:themeColor="accent1" w:themeShade="BF"/>
    </w:rPr>
  </w:style>
  <w:style w:type="character" w:customStyle="1" w:styleId="27">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31">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引用 字符"/>
    <w:basedOn w:val="16"/>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6"/>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明显引用 字符"/>
    <w:basedOn w:val="16"/>
    <w:link w:val="36"/>
    <w:uiPriority w:val="30"/>
    <w:rPr>
      <w:i/>
      <w:iCs/>
      <w:color w:val="104862" w:themeColor="accent1" w:themeShade="BF"/>
    </w:rPr>
  </w:style>
  <w:style w:type="character" w:customStyle="1" w:styleId="38">
    <w:name w:val="Intense Reference"/>
    <w:basedOn w:val="16"/>
    <w:qFormat/>
    <w:uiPriority w:val="32"/>
    <w:rPr>
      <w:b/>
      <w:bCs/>
      <w:smallCaps/>
      <w:color w:val="104862" w:themeColor="accent1" w:themeShade="BF"/>
      <w:spacing w:val="5"/>
    </w:rPr>
  </w:style>
  <w:style w:type="character" w:customStyle="1" w:styleId="39">
    <w:name w:val="页眉 字符"/>
    <w:basedOn w:val="16"/>
    <w:link w:val="12"/>
    <w:uiPriority w:val="99"/>
    <w:rPr>
      <w:sz w:val="18"/>
      <w:szCs w:val="18"/>
    </w:rPr>
  </w:style>
  <w:style w:type="character" w:customStyle="1" w:styleId="40">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859</Words>
  <Characters>5219</Characters>
  <Lines>92</Lines>
  <Paragraphs>26</Paragraphs>
  <TotalTime>436</TotalTime>
  <ScaleCrop>false</ScaleCrop>
  <LinksUpToDate>false</LinksUpToDate>
  <CharactersWithSpaces>6042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2026-02-07T07:16:00Z</dcterms:created>
  <dc:creator>Admin</dc:creator>
  <cp:lastModifiedBy>何嘉艺</cp:lastModifiedBy>
  <dcterms:modified xsi:type="dcterms:W3CDTF">2026-02-26T11:36:44Z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eyJoZGlkIjoiYzNjNzljZDBjZmIxYTg3ZDUzZmY5YTZkZTBiZWE1NmEiLCJ1c2VySWQiOiIxNzUzMzcyNjI0In0=</vt:lpwstr>
  </property>
  <property fmtid="{D5CDD505-2E9C-101B-9397-08002B2CF9AE}" pid="3" name="KSOProductBuildVer">
    <vt:lpwstr>2052-12.1.0.21915</vt:lpwstr>
  </property>
  <property fmtid="{D5CDD505-2E9C-101B-9397-08002B2CF9AE}" pid="4" name="ICV">
    <vt:lpwstr>2B48F7E905CC40DAAD0B287674983836_12</vt:lpwstr>
  </property>
</Properties>
</file>