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ACABA" w14:textId="77777777" w:rsidR="002C78EB" w:rsidRDefault="002C78EB">
      <w:pPr>
        <w:pStyle w:val="Titre1"/>
      </w:pPr>
    </w:p>
    <w:p w14:paraId="4F2F219E" w14:textId="77777777" w:rsidR="002C78EB" w:rsidRDefault="002C78EB">
      <w:pPr>
        <w:pStyle w:val="Titre1"/>
      </w:pPr>
    </w:p>
    <w:p w14:paraId="24D1A05C" w14:textId="2DFFF38D" w:rsidR="00425919" w:rsidRPr="002C78EB" w:rsidRDefault="00E45B94">
      <w:pPr>
        <w:pStyle w:val="Titre1"/>
        <w:rPr>
          <w:lang w:val="fr-FR"/>
        </w:rPr>
      </w:pPr>
      <w:r w:rsidRPr="002C78EB">
        <w:rPr>
          <w:lang w:val="fr-FR"/>
        </w:rPr>
        <w:t>Évaluation - Étude de Cas Société Générale</w:t>
      </w:r>
    </w:p>
    <w:p w14:paraId="1901A0CC" w14:textId="77777777" w:rsidR="00425919" w:rsidRPr="002C78EB" w:rsidRDefault="00E45B94">
      <w:pPr>
        <w:rPr>
          <w:lang w:val="fr-FR"/>
        </w:rPr>
      </w:pPr>
      <w:r>
        <w:t>📌</w:t>
      </w:r>
      <w:r w:rsidRPr="002C78EB">
        <w:rPr>
          <w:lang w:val="fr-FR"/>
        </w:rPr>
        <w:t xml:space="preserve"> **Nom :** de villiers</w:t>
      </w:r>
    </w:p>
    <w:p w14:paraId="6E826E80" w14:textId="77777777" w:rsidR="00425919" w:rsidRPr="002C78EB" w:rsidRDefault="00E45B94">
      <w:pPr>
        <w:rPr>
          <w:lang w:val="fr-FR"/>
        </w:rPr>
      </w:pPr>
      <w:r>
        <w:t>📌</w:t>
      </w:r>
      <w:r w:rsidRPr="002C78EB">
        <w:rPr>
          <w:lang w:val="fr-FR"/>
        </w:rPr>
        <w:t xml:space="preserve"> **Prénom :** marc antoine</w:t>
      </w:r>
    </w:p>
    <w:p w14:paraId="1CD60DC7" w14:textId="77777777" w:rsidR="00425919" w:rsidRPr="002C78EB" w:rsidRDefault="00E45B94">
      <w:pPr>
        <w:rPr>
          <w:lang w:val="fr-FR"/>
        </w:rPr>
      </w:pPr>
      <w:r>
        <w:t>📌</w:t>
      </w:r>
      <w:r w:rsidRPr="002C78EB">
        <w:rPr>
          <w:lang w:val="fr-FR"/>
        </w:rPr>
        <w:t xml:space="preserve"> **Date de naissance :** 04/26/1999</w:t>
      </w:r>
    </w:p>
    <w:p w14:paraId="5ADB46B6" w14:textId="77777777" w:rsidR="00425919" w:rsidRPr="002C78EB" w:rsidRDefault="00E45B94">
      <w:pPr>
        <w:rPr>
          <w:lang w:val="fr-FR"/>
        </w:rPr>
      </w:pPr>
      <w:r>
        <w:t>📌</w:t>
      </w:r>
      <w:r w:rsidRPr="002C78EB">
        <w:rPr>
          <w:lang w:val="fr-FR"/>
        </w:rPr>
        <w:t xml:space="preserve"> **Date de réalisation :** 01/03/2025</w:t>
      </w:r>
    </w:p>
    <w:p w14:paraId="29348F88" w14:textId="77777777" w:rsidR="00425919" w:rsidRPr="002C78EB" w:rsidRDefault="00E45B94">
      <w:pPr>
        <w:rPr>
          <w:lang w:val="fr-FR"/>
        </w:rPr>
      </w:pPr>
      <w:r w:rsidRPr="002C78EB">
        <w:rPr>
          <w:lang w:val="fr-FR"/>
        </w:rPr>
        <w:br/>
      </w:r>
    </w:p>
    <w:p w14:paraId="60731EF5" w14:textId="77777777" w:rsidR="00425919" w:rsidRPr="002C78EB" w:rsidRDefault="00E45B94">
      <w:pPr>
        <w:pStyle w:val="Titre2"/>
        <w:rPr>
          <w:lang w:val="fr-FR"/>
        </w:rPr>
      </w:pPr>
      <w:r w:rsidRPr="002C78EB">
        <w:rPr>
          <w:lang w:val="fr-FR"/>
        </w:rPr>
        <w:t>Contexte Général</w:t>
      </w:r>
    </w:p>
    <w:p w14:paraId="3B7792F1" w14:textId="77777777" w:rsidR="00425919" w:rsidRPr="002C78EB" w:rsidRDefault="00E45B94">
      <w:pPr>
        <w:rPr>
          <w:lang w:val="fr-FR"/>
        </w:rPr>
      </w:pPr>
      <w:r w:rsidRPr="002C78EB">
        <w:rPr>
          <w:lang w:val="fr-FR"/>
        </w:rPr>
        <w:t>La Société Générale est une institution financière de premier plan en France et en Europe, impliquée dans la banque de détail, les services financiers et la banque d’investissement. Elle fait face à des défis dans un environnement changeant où les taux d’intérêt, la réglementation et les attentes sociales et environnementales influent sur sa stratégie.</w:t>
      </w:r>
    </w:p>
    <w:p w14:paraId="754CFDA4" w14:textId="77777777" w:rsidR="00425919" w:rsidRDefault="00E45B94">
      <w:pPr>
        <w:pStyle w:val="Titre2"/>
      </w:pPr>
      <w:r>
        <w:t>1. Données Générales et Performance Actuelle</w:t>
      </w:r>
    </w:p>
    <w:tbl>
      <w:tblPr>
        <w:tblStyle w:val="Grilledutableau"/>
        <w:tblW w:w="0" w:type="auto"/>
        <w:tblLook w:val="04A0" w:firstRow="1" w:lastRow="0" w:firstColumn="1" w:lastColumn="0" w:noHBand="0" w:noVBand="1"/>
      </w:tblPr>
      <w:tblGrid>
        <w:gridCol w:w="4320"/>
        <w:gridCol w:w="4320"/>
      </w:tblGrid>
      <w:tr w:rsidR="00425919" w14:paraId="7A48B869" w14:textId="77777777">
        <w:tc>
          <w:tcPr>
            <w:tcW w:w="4320" w:type="dxa"/>
          </w:tcPr>
          <w:p w14:paraId="25AB7178" w14:textId="77777777" w:rsidR="00425919" w:rsidRDefault="00E45B94">
            <w:r>
              <w:t>Nom de l'entreprise</w:t>
            </w:r>
          </w:p>
        </w:tc>
        <w:tc>
          <w:tcPr>
            <w:tcW w:w="4320" w:type="dxa"/>
          </w:tcPr>
          <w:p w14:paraId="3D2CC9DB" w14:textId="77777777" w:rsidR="00425919" w:rsidRDefault="00E45B94">
            <w:r>
              <w:t>Société Générale</w:t>
            </w:r>
          </w:p>
        </w:tc>
      </w:tr>
      <w:tr w:rsidR="00425919" w14:paraId="1062C32A" w14:textId="77777777">
        <w:tc>
          <w:tcPr>
            <w:tcW w:w="4320" w:type="dxa"/>
          </w:tcPr>
          <w:p w14:paraId="52D79CE3" w14:textId="77777777" w:rsidR="00425919" w:rsidRDefault="00E45B94">
            <w:r>
              <w:t>Secteur</w:t>
            </w:r>
          </w:p>
        </w:tc>
        <w:tc>
          <w:tcPr>
            <w:tcW w:w="4320" w:type="dxa"/>
          </w:tcPr>
          <w:p w14:paraId="34AA9D56" w14:textId="77777777" w:rsidR="00425919" w:rsidRDefault="00E45B94">
            <w:r>
              <w:t>Banque et services financiers</w:t>
            </w:r>
          </w:p>
        </w:tc>
      </w:tr>
      <w:tr w:rsidR="00425919" w14:paraId="118A4A1B" w14:textId="77777777">
        <w:tc>
          <w:tcPr>
            <w:tcW w:w="4320" w:type="dxa"/>
          </w:tcPr>
          <w:p w14:paraId="37E5CA58" w14:textId="77777777" w:rsidR="00425919" w:rsidRDefault="00E45B94">
            <w:r>
              <w:t>Année de création</w:t>
            </w:r>
          </w:p>
        </w:tc>
        <w:tc>
          <w:tcPr>
            <w:tcW w:w="4320" w:type="dxa"/>
          </w:tcPr>
          <w:p w14:paraId="059072A1" w14:textId="77777777" w:rsidR="00425919" w:rsidRDefault="00E45B94">
            <w:r>
              <w:t>1864</w:t>
            </w:r>
          </w:p>
        </w:tc>
      </w:tr>
      <w:tr w:rsidR="00425919" w14:paraId="6B292A45" w14:textId="77777777">
        <w:tc>
          <w:tcPr>
            <w:tcW w:w="4320" w:type="dxa"/>
          </w:tcPr>
          <w:p w14:paraId="0149A975" w14:textId="77777777" w:rsidR="00425919" w:rsidRDefault="00E45B94">
            <w:r>
              <w:t>Présence géographique</w:t>
            </w:r>
          </w:p>
        </w:tc>
        <w:tc>
          <w:tcPr>
            <w:tcW w:w="4320" w:type="dxa"/>
          </w:tcPr>
          <w:p w14:paraId="01F69119" w14:textId="77777777" w:rsidR="00425919" w:rsidRDefault="00E45B94">
            <w:r>
              <w:t>Europe, Amérique, Afrique, Asie</w:t>
            </w:r>
          </w:p>
        </w:tc>
      </w:tr>
      <w:tr w:rsidR="00425919" w14:paraId="38E7D43F" w14:textId="77777777">
        <w:tc>
          <w:tcPr>
            <w:tcW w:w="4320" w:type="dxa"/>
          </w:tcPr>
          <w:p w14:paraId="25479BA1" w14:textId="77777777" w:rsidR="00425919" w:rsidRDefault="00E45B94">
            <w:r>
              <w:t>Nombre d'employés</w:t>
            </w:r>
          </w:p>
        </w:tc>
        <w:tc>
          <w:tcPr>
            <w:tcW w:w="4320" w:type="dxa"/>
          </w:tcPr>
          <w:p w14:paraId="472A32B3" w14:textId="77777777" w:rsidR="00425919" w:rsidRDefault="00E45B94">
            <w:r>
              <w:t>133 000</w:t>
            </w:r>
          </w:p>
        </w:tc>
      </w:tr>
      <w:tr w:rsidR="00425919" w14:paraId="201CE6D7" w14:textId="77777777">
        <w:tc>
          <w:tcPr>
            <w:tcW w:w="4320" w:type="dxa"/>
          </w:tcPr>
          <w:p w14:paraId="30C638D9" w14:textId="77777777" w:rsidR="00425919" w:rsidRDefault="00E45B94">
            <w:r>
              <w:t>Chiffre d'affaires actuel</w:t>
            </w:r>
          </w:p>
        </w:tc>
        <w:tc>
          <w:tcPr>
            <w:tcW w:w="4320" w:type="dxa"/>
          </w:tcPr>
          <w:p w14:paraId="3F7FAD01" w14:textId="77777777" w:rsidR="00425919" w:rsidRDefault="00E45B94">
            <w:r>
              <w:t>22,6 milliards €</w:t>
            </w:r>
          </w:p>
        </w:tc>
      </w:tr>
      <w:tr w:rsidR="00425919" w14:paraId="4E8B1E85" w14:textId="77777777">
        <w:tc>
          <w:tcPr>
            <w:tcW w:w="4320" w:type="dxa"/>
          </w:tcPr>
          <w:p w14:paraId="0FD09A07" w14:textId="77777777" w:rsidR="00425919" w:rsidRDefault="00E45B94">
            <w:r>
              <w:t>Résultat net actuel</w:t>
            </w:r>
          </w:p>
        </w:tc>
        <w:tc>
          <w:tcPr>
            <w:tcW w:w="4320" w:type="dxa"/>
          </w:tcPr>
          <w:p w14:paraId="50B1C2CD" w14:textId="77777777" w:rsidR="00425919" w:rsidRDefault="00E45B94">
            <w:r>
              <w:t>1,5 milliard €</w:t>
            </w:r>
          </w:p>
        </w:tc>
      </w:tr>
    </w:tbl>
    <w:p w14:paraId="4A1EAB4F" w14:textId="77777777" w:rsidR="00425919" w:rsidRDefault="00E45B94">
      <w:r>
        <w:br/>
      </w:r>
    </w:p>
    <w:p w14:paraId="159ECB1F" w14:textId="77777777" w:rsidR="00425919" w:rsidRDefault="00E45B94">
      <w:pPr>
        <w:pStyle w:val="Titre2"/>
      </w:pPr>
      <w:r>
        <w:t>2. Indicateurs et Ratios Financiers</w:t>
      </w:r>
    </w:p>
    <w:tbl>
      <w:tblPr>
        <w:tblStyle w:val="Grilledutableau"/>
        <w:tblW w:w="0" w:type="auto"/>
        <w:tblLook w:val="04A0" w:firstRow="1" w:lastRow="0" w:firstColumn="1" w:lastColumn="0" w:noHBand="0" w:noVBand="1"/>
      </w:tblPr>
      <w:tblGrid>
        <w:gridCol w:w="2000"/>
        <w:gridCol w:w="2000"/>
        <w:gridCol w:w="2000"/>
      </w:tblGrid>
      <w:tr w:rsidR="00425919" w14:paraId="4BAAA197" w14:textId="77777777">
        <w:tc>
          <w:tcPr>
            <w:tcW w:w="2000" w:type="dxa"/>
          </w:tcPr>
          <w:p w14:paraId="07E31A70" w14:textId="77777777" w:rsidR="00425919" w:rsidRDefault="00E45B94">
            <w:r>
              <w:t>Indicateur</w:t>
            </w:r>
          </w:p>
        </w:tc>
        <w:tc>
          <w:tcPr>
            <w:tcW w:w="2000" w:type="dxa"/>
          </w:tcPr>
          <w:p w14:paraId="2E79FAAD" w14:textId="77777777" w:rsidR="00425919" w:rsidRDefault="00E45B94">
            <w:r>
              <w:t>Valeur Actuelle</w:t>
            </w:r>
          </w:p>
        </w:tc>
        <w:tc>
          <w:tcPr>
            <w:tcW w:w="2000" w:type="dxa"/>
          </w:tcPr>
          <w:p w14:paraId="18929D56" w14:textId="77777777" w:rsidR="00425919" w:rsidRDefault="00E45B94">
            <w:r>
              <w:t>Benchmark</w:t>
            </w:r>
          </w:p>
        </w:tc>
      </w:tr>
      <w:tr w:rsidR="00425919" w14:paraId="459E83E2" w14:textId="77777777">
        <w:tc>
          <w:tcPr>
            <w:tcW w:w="2000" w:type="dxa"/>
          </w:tcPr>
          <w:p w14:paraId="6C060448" w14:textId="77777777" w:rsidR="00425919" w:rsidRDefault="00E45B94">
            <w:r>
              <w:t>ROE</w:t>
            </w:r>
          </w:p>
        </w:tc>
        <w:tc>
          <w:tcPr>
            <w:tcW w:w="2000" w:type="dxa"/>
          </w:tcPr>
          <w:p w14:paraId="3DDF239C" w14:textId="77777777" w:rsidR="00425919" w:rsidRDefault="00E45B94">
            <w:r>
              <w:t>6,9%</w:t>
            </w:r>
          </w:p>
        </w:tc>
        <w:tc>
          <w:tcPr>
            <w:tcW w:w="2000" w:type="dxa"/>
          </w:tcPr>
          <w:p w14:paraId="3465EF6A" w14:textId="77777777" w:rsidR="00425919" w:rsidRDefault="00E45B94">
            <w:r>
              <w:t>8,5%</w:t>
            </w:r>
          </w:p>
        </w:tc>
      </w:tr>
      <w:tr w:rsidR="00425919" w14:paraId="3BF36DE7" w14:textId="77777777">
        <w:tc>
          <w:tcPr>
            <w:tcW w:w="2000" w:type="dxa"/>
          </w:tcPr>
          <w:p w14:paraId="6D364ECA" w14:textId="77777777" w:rsidR="00425919" w:rsidRDefault="00E45B94">
            <w:r>
              <w:t>CET1</w:t>
            </w:r>
          </w:p>
        </w:tc>
        <w:tc>
          <w:tcPr>
            <w:tcW w:w="2000" w:type="dxa"/>
          </w:tcPr>
          <w:p w14:paraId="5779857B" w14:textId="77777777" w:rsidR="00425919" w:rsidRDefault="00E45B94">
            <w:r>
              <w:t>13%</w:t>
            </w:r>
          </w:p>
        </w:tc>
        <w:tc>
          <w:tcPr>
            <w:tcW w:w="2000" w:type="dxa"/>
          </w:tcPr>
          <w:p w14:paraId="6C02A150" w14:textId="77777777" w:rsidR="00425919" w:rsidRDefault="00E45B94">
            <w:r>
              <w:t>15%</w:t>
            </w:r>
          </w:p>
        </w:tc>
      </w:tr>
      <w:tr w:rsidR="00425919" w14:paraId="13BA4CBD" w14:textId="77777777">
        <w:tc>
          <w:tcPr>
            <w:tcW w:w="2000" w:type="dxa"/>
          </w:tcPr>
          <w:p w14:paraId="04CC09DE" w14:textId="77777777" w:rsidR="00425919" w:rsidRDefault="00E45B94">
            <w:r>
              <w:t>Ratio d'endettement</w:t>
            </w:r>
          </w:p>
        </w:tc>
        <w:tc>
          <w:tcPr>
            <w:tcW w:w="2000" w:type="dxa"/>
          </w:tcPr>
          <w:p w14:paraId="22A3400C" w14:textId="77777777" w:rsidR="00425919" w:rsidRDefault="00E45B94">
            <w:r>
              <w:t>5,1</w:t>
            </w:r>
          </w:p>
        </w:tc>
        <w:tc>
          <w:tcPr>
            <w:tcW w:w="2000" w:type="dxa"/>
          </w:tcPr>
          <w:p w14:paraId="6BDCE140" w14:textId="77777777" w:rsidR="00425919" w:rsidRDefault="00E45B94">
            <w:r>
              <w:t>4,8</w:t>
            </w:r>
          </w:p>
        </w:tc>
      </w:tr>
      <w:tr w:rsidR="00425919" w14:paraId="313D0623" w14:textId="77777777">
        <w:tc>
          <w:tcPr>
            <w:tcW w:w="2000" w:type="dxa"/>
          </w:tcPr>
          <w:p w14:paraId="6D1EA521" w14:textId="77777777" w:rsidR="00425919" w:rsidRDefault="00E45B94">
            <w:r>
              <w:t>Ratio de liquidité</w:t>
            </w:r>
          </w:p>
        </w:tc>
        <w:tc>
          <w:tcPr>
            <w:tcW w:w="2000" w:type="dxa"/>
          </w:tcPr>
          <w:p w14:paraId="4BB1E537" w14:textId="77777777" w:rsidR="00425919" w:rsidRDefault="00E45B94">
            <w:r>
              <w:t>130%</w:t>
            </w:r>
          </w:p>
        </w:tc>
        <w:tc>
          <w:tcPr>
            <w:tcW w:w="2000" w:type="dxa"/>
          </w:tcPr>
          <w:p w14:paraId="02B33D22" w14:textId="77777777" w:rsidR="00425919" w:rsidRDefault="00E45B94">
            <w:r>
              <w:t>125%</w:t>
            </w:r>
          </w:p>
        </w:tc>
      </w:tr>
      <w:tr w:rsidR="00425919" w14:paraId="77ACCE72" w14:textId="77777777">
        <w:tc>
          <w:tcPr>
            <w:tcW w:w="2000" w:type="dxa"/>
          </w:tcPr>
          <w:p w14:paraId="0D213CD2" w14:textId="77777777" w:rsidR="00425919" w:rsidRPr="002C78EB" w:rsidRDefault="00E45B94">
            <w:pPr>
              <w:rPr>
                <w:lang w:val="fr-FR"/>
              </w:rPr>
            </w:pPr>
            <w:r w:rsidRPr="002C78EB">
              <w:rPr>
                <w:lang w:val="fr-FR"/>
              </w:rPr>
              <w:t xml:space="preserve">Ratio de couverture des </w:t>
            </w:r>
            <w:r w:rsidRPr="002C78EB">
              <w:rPr>
                <w:lang w:val="fr-FR"/>
              </w:rPr>
              <w:lastRenderedPageBreak/>
              <w:t>intérêts</w:t>
            </w:r>
          </w:p>
        </w:tc>
        <w:tc>
          <w:tcPr>
            <w:tcW w:w="2000" w:type="dxa"/>
          </w:tcPr>
          <w:p w14:paraId="4F26EF13" w14:textId="77777777" w:rsidR="00425919" w:rsidRDefault="00E45B94">
            <w:r>
              <w:lastRenderedPageBreak/>
              <w:t>2,5</w:t>
            </w:r>
          </w:p>
        </w:tc>
        <w:tc>
          <w:tcPr>
            <w:tcW w:w="2000" w:type="dxa"/>
          </w:tcPr>
          <w:p w14:paraId="23AE7AE1" w14:textId="77777777" w:rsidR="00425919" w:rsidRDefault="00E45B94">
            <w:r>
              <w:t>3</w:t>
            </w:r>
          </w:p>
        </w:tc>
      </w:tr>
    </w:tbl>
    <w:p w14:paraId="3B78DAE8" w14:textId="77777777" w:rsidR="00425919" w:rsidRDefault="00E45B94">
      <w:r>
        <w:br/>
      </w:r>
    </w:p>
    <w:p w14:paraId="2672DAE9" w14:textId="77777777" w:rsidR="00425919" w:rsidRDefault="00E45B94">
      <w:pPr>
        <w:pStyle w:val="Titre2"/>
      </w:pPr>
      <w:r>
        <w:t>3. Analyse des Questions</w:t>
      </w:r>
    </w:p>
    <w:p w14:paraId="1F44F450" w14:textId="77777777" w:rsidR="00425919" w:rsidRDefault="00E45B94">
      <w:pPr>
        <w:pStyle w:val="Titre3"/>
      </w:pPr>
      <w:r>
        <w:t>Question 1</w:t>
      </w:r>
    </w:p>
    <w:p w14:paraId="335D6878" w14:textId="77777777" w:rsidR="00425919" w:rsidRPr="002C78EB" w:rsidRDefault="00E45B94">
      <w:pPr>
        <w:rPr>
          <w:lang w:val="fr-FR"/>
        </w:rPr>
      </w:pPr>
      <w:r w:rsidRPr="002C78EB">
        <w:rPr>
          <w:lang w:val="fr-FR"/>
        </w:rPr>
        <w:t>Compare les performances de la Société Générale avec BNP Paribas et Crédit Agricole en termes de rentabilité et de solvabilité.</w:t>
      </w:r>
    </w:p>
    <w:p w14:paraId="217DA168" w14:textId="77777777" w:rsidR="00425919" w:rsidRPr="002C78EB" w:rsidRDefault="00E45B94">
      <w:pPr>
        <w:rPr>
          <w:lang w:val="fr-FR"/>
        </w:rPr>
      </w:pPr>
      <w:r w:rsidRPr="002C78EB">
        <w:rPr>
          <w:lang w:val="fr-FR"/>
        </w:rPr>
        <w:t>Réponse :</w:t>
      </w:r>
    </w:p>
    <w:p w14:paraId="6BA5D624" w14:textId="77777777" w:rsidR="00425919" w:rsidRPr="002C78EB" w:rsidRDefault="00E45B94">
      <w:pPr>
        <w:rPr>
          <w:lang w:val="fr-FR"/>
        </w:rPr>
      </w:pPr>
      <w:r w:rsidRPr="002C78EB">
        <w:rPr>
          <w:lang w:val="fr-FR"/>
        </w:rPr>
        <w:t>Pour réaliser une comparaison précise de la performance de la Société Générale, de BNP Paribas et du Crédit Agricole, il serait nécessaire de disposer des données financières les plus récentes de ces organisations. Cependant, voici comment on pourrait généralement procéder à une telle analyse:</w:t>
      </w:r>
      <w:r w:rsidRPr="002C78EB">
        <w:rPr>
          <w:lang w:val="fr-FR"/>
        </w:rPr>
        <w:br/>
      </w:r>
      <w:r w:rsidRPr="002C78EB">
        <w:rPr>
          <w:lang w:val="fr-FR"/>
        </w:rPr>
        <w:br/>
        <w:t>Le ratio de rentabilité permet de mesurer la capacité d’une entreprise à générer des profits. Les ratios couramment utilisés sont la marge bénéficiaire nette, le rendement sur les actifs (ROA) et le rendement sur les capitaux propres (ROE). Cela dépend du résultat d'exploitation mais aussi du chiffre d'affaires net de la banque.</w:t>
      </w:r>
      <w:r w:rsidRPr="002C78EB">
        <w:rPr>
          <w:lang w:val="fr-FR"/>
        </w:rPr>
        <w:br/>
      </w:r>
      <w:r w:rsidRPr="002C78EB">
        <w:rPr>
          <w:lang w:val="fr-FR"/>
        </w:rPr>
        <w:br/>
        <w:t>D'autre part, le ratio de solvabilité évalue la capacité d'une entreprise à respecter ses obligations financières à long terme. Les ratios de solvabilité couramment utilisés dans le secteur bancaire comprennent le coefficient de Tier 1, qui est un indicateur de la solvabilité d’une banque et une mesure de son capital par rapport à ses actifs pondérés du risque.</w:t>
      </w:r>
      <w:r w:rsidRPr="002C78EB">
        <w:rPr>
          <w:lang w:val="fr-FR"/>
        </w:rPr>
        <w:br/>
      </w:r>
      <w:r w:rsidRPr="002C78EB">
        <w:rPr>
          <w:lang w:val="fr-FR"/>
        </w:rPr>
        <w:br/>
        <w:t xml:space="preserve">Par exemple, si la Société Générale a un ROE de 5%, un ROA de 0.5% et un ratio de Tier 1 de 14.5%, cela signifie qu'elle a une rentabilité relativement faible, mais une solvabilité assez bonne. Si BNP Paribas a un ROE de 7%, un ROA de 0.8% et un ratio de Tier 1 de 12%, cela implique une meilleure rentabilité, mais une solvabilité légèrement inférieure à celle de la Société Générale. Et si Crédit Agricole a un ROE de 6%, un ROA de 0.7% et un ratio de Tier 1 de 14%, cela signifie qu'elle a une rentabilité intermédiaire et une bonne solvabilité. </w:t>
      </w:r>
      <w:r w:rsidRPr="002C78EB">
        <w:rPr>
          <w:lang w:val="fr-FR"/>
        </w:rPr>
        <w:br/>
      </w:r>
      <w:r w:rsidRPr="002C78EB">
        <w:rPr>
          <w:lang w:val="fr-FR"/>
        </w:rPr>
        <w:br/>
        <w:t>Cependant, il est important de ne pas se fier uniquement à ces chiffres. Pour une compréhension complète de la performance de l'entreprise, il est nécessaire de regarder d'autres indicateurs tels que les ratios d'efficacité, le coût du risque, le taux de couverture des prêts non performants etc. Et surtout, d'analyser les tendances sur plusieurs années.</w:t>
      </w:r>
    </w:p>
    <w:p w14:paraId="5415083B" w14:textId="77777777" w:rsidR="00425919" w:rsidRPr="002C78EB" w:rsidRDefault="00E45B94">
      <w:pPr>
        <w:pStyle w:val="Titre3"/>
        <w:rPr>
          <w:lang w:val="fr-FR"/>
        </w:rPr>
      </w:pPr>
      <w:r w:rsidRPr="002C78EB">
        <w:rPr>
          <w:lang w:val="fr-FR"/>
        </w:rPr>
        <w:t>Question 2</w:t>
      </w:r>
    </w:p>
    <w:p w14:paraId="45E9A1AA" w14:textId="77777777" w:rsidR="00425919" w:rsidRPr="002C78EB" w:rsidRDefault="00E45B94">
      <w:pPr>
        <w:rPr>
          <w:lang w:val="fr-FR"/>
        </w:rPr>
      </w:pPr>
      <w:r w:rsidRPr="002C78EB">
        <w:rPr>
          <w:lang w:val="fr-FR"/>
        </w:rPr>
        <w:t>Quels sont les impacts de la politique monétaire de la BCE sur la rentabilité de la Société Générale ?</w:t>
      </w:r>
    </w:p>
    <w:p w14:paraId="2EEBD59E" w14:textId="77777777" w:rsidR="00425919" w:rsidRPr="002C78EB" w:rsidRDefault="00E45B94">
      <w:pPr>
        <w:rPr>
          <w:lang w:val="fr-FR"/>
        </w:rPr>
      </w:pPr>
      <w:r w:rsidRPr="002C78EB">
        <w:rPr>
          <w:lang w:val="fr-FR"/>
        </w:rPr>
        <w:t>Réponse :</w:t>
      </w:r>
    </w:p>
    <w:p w14:paraId="286EE697" w14:textId="77777777" w:rsidR="00425919" w:rsidRPr="002C78EB" w:rsidRDefault="00E45B94">
      <w:pPr>
        <w:rPr>
          <w:lang w:val="fr-FR"/>
        </w:rPr>
      </w:pPr>
      <w:r w:rsidRPr="002C78EB">
        <w:rPr>
          <w:lang w:val="fr-FR"/>
        </w:rPr>
        <w:lastRenderedPageBreak/>
        <w:t>La politique monétaire de la Banque Centrale Européenne (BCE) peut avoir un impact direct et significatif sur la rentabilité de la Société Générale dans diverses manières :</w:t>
      </w:r>
      <w:r w:rsidRPr="002C78EB">
        <w:rPr>
          <w:lang w:val="fr-FR"/>
        </w:rPr>
        <w:br/>
      </w:r>
      <w:r w:rsidRPr="002C78EB">
        <w:rPr>
          <w:lang w:val="fr-FR"/>
        </w:rPr>
        <w:br/>
        <w:t>1. Taux d'intérêt : La BCE contrôle les principaux taux d'intérêt dans la zone euro. Lorsque la BCE baisse les taux d'intérêt, cela réduit le coût de l'emprunt pour la Société Générale, ce qui peut améliorer sa rentabilité. Cependant, cela peut également réduire les marges d'intérêt de la banque, puisque les taux d'intérêt plus bas réduisent le rendement des prêts.</w:t>
      </w:r>
      <w:r w:rsidRPr="002C78EB">
        <w:rPr>
          <w:lang w:val="fr-FR"/>
        </w:rPr>
        <w:br/>
      </w:r>
      <w:r w:rsidRPr="002C78EB">
        <w:rPr>
          <w:lang w:val="fr-FR"/>
        </w:rPr>
        <w:br/>
        <w:t>2. Liquidité : La BCE peut influencer le niveau de liquidité dans le système bancaire en achetant ou en vendant des actifs financiers. Si la BCE injecte plus de liquidité dans le système, cela peut aider la Société Générale en lui fournissant davantage de fonds à prêter, augmentant ainsi les profits. Cependant, si la BCE retire de la liquidité, cela peut nuire à la banque en réduisant les fonds disponibles pour prêter.</w:t>
      </w:r>
      <w:r w:rsidRPr="002C78EB">
        <w:rPr>
          <w:lang w:val="fr-FR"/>
        </w:rPr>
        <w:br/>
      </w:r>
      <w:r w:rsidRPr="002C78EB">
        <w:rPr>
          <w:lang w:val="fr-FR"/>
        </w:rPr>
        <w:br/>
        <w:t>3. Stabilité financière : La politique monétaire de la BCE vise également à maintenir la stabilité financière. Une politique monétaire efficace peut aider à prévenir les crises financières, ce qui serait certainement bénéfique pour la Société Générale. Inversement, si la BCE échoue à maintenir la stabilité financière, cela pourrait entraîner des pertes pour la banque.</w:t>
      </w:r>
      <w:r w:rsidRPr="002C78EB">
        <w:rPr>
          <w:lang w:val="fr-FR"/>
        </w:rPr>
        <w:br/>
      </w:r>
      <w:r w:rsidRPr="002C78EB">
        <w:rPr>
          <w:lang w:val="fr-FR"/>
        </w:rPr>
        <w:br/>
        <w:t>4. Évaluation des actifs : Les actions de la BCE peuvent influencer les prix des différents types d'actifs, y compris les actions et les obligations. Cela pourrait avoir un impact sur la valeur des actifs que la Société Générale détient dans son portefeuille.</w:t>
      </w:r>
      <w:r w:rsidRPr="002C78EB">
        <w:rPr>
          <w:lang w:val="fr-FR"/>
        </w:rPr>
        <w:br/>
      </w:r>
      <w:r w:rsidRPr="002C78EB">
        <w:rPr>
          <w:lang w:val="fr-FR"/>
        </w:rPr>
        <w:br/>
        <w:t>Notez cependant que l'effet de la politique monétaire de la BCE sur la rentabilité de la Société Générale pourrait être atténué ou amplifié par d'autres facteurs, tels que la politique économique générale, la situation financière de la banque, et les conditions du marché.</w:t>
      </w:r>
    </w:p>
    <w:p w14:paraId="419100AD" w14:textId="77777777" w:rsidR="00425919" w:rsidRPr="002C78EB" w:rsidRDefault="00E45B94">
      <w:pPr>
        <w:pStyle w:val="Titre3"/>
        <w:rPr>
          <w:lang w:val="fr-FR"/>
        </w:rPr>
      </w:pPr>
      <w:r w:rsidRPr="002C78EB">
        <w:rPr>
          <w:lang w:val="fr-FR"/>
        </w:rPr>
        <w:t>Question 3</w:t>
      </w:r>
    </w:p>
    <w:p w14:paraId="72D3D42C" w14:textId="77777777" w:rsidR="00425919" w:rsidRPr="002C78EB" w:rsidRDefault="00E45B94">
      <w:pPr>
        <w:rPr>
          <w:lang w:val="fr-FR"/>
        </w:rPr>
      </w:pPr>
      <w:r w:rsidRPr="002C78EB">
        <w:rPr>
          <w:lang w:val="fr-FR"/>
        </w:rPr>
        <w:t>Pourquoi la conformité avec le SFDR est-elle essentielle pour la Société Générale, et quels risques en cas de non-conformité ?</w:t>
      </w:r>
    </w:p>
    <w:p w14:paraId="437F8855" w14:textId="77777777" w:rsidR="00425919" w:rsidRPr="002C78EB" w:rsidRDefault="00E45B94">
      <w:pPr>
        <w:rPr>
          <w:lang w:val="fr-FR"/>
        </w:rPr>
      </w:pPr>
      <w:r w:rsidRPr="002C78EB">
        <w:rPr>
          <w:lang w:val="fr-FR"/>
        </w:rPr>
        <w:t>Réponse :</w:t>
      </w:r>
    </w:p>
    <w:p w14:paraId="0E9DF189" w14:textId="77777777" w:rsidR="00425919" w:rsidRPr="002C78EB" w:rsidRDefault="00E45B94">
      <w:pPr>
        <w:rPr>
          <w:lang w:val="fr-FR"/>
        </w:rPr>
      </w:pPr>
      <w:r w:rsidRPr="002C78EB">
        <w:rPr>
          <w:lang w:val="fr-FR"/>
        </w:rPr>
        <w:t>Le SFDR, ou le Règlement sur la divulgation d'informations liées à la durabilité dans le secteur des services financiers, est une réglementation européenne qui demande aux entités financières de divulguer des informations pertinentes sur les risques d'impact sur la durabilité.</w:t>
      </w:r>
      <w:r w:rsidRPr="002C78EB">
        <w:rPr>
          <w:lang w:val="fr-FR"/>
        </w:rPr>
        <w:br/>
      </w:r>
      <w:r w:rsidRPr="002C78EB">
        <w:rPr>
          <w:lang w:val="fr-FR"/>
        </w:rPr>
        <w:br/>
        <w:t>La conformité avec le SFDR est essentielle pour la Société Générale pour plusieurs raisons :</w:t>
      </w:r>
      <w:r w:rsidRPr="002C78EB">
        <w:rPr>
          <w:lang w:val="fr-FR"/>
        </w:rPr>
        <w:br/>
      </w:r>
      <w:r w:rsidRPr="002C78EB">
        <w:rPr>
          <w:lang w:val="fr-FR"/>
        </w:rPr>
        <w:br/>
        <w:t>1. Réputation et confiance : En étant conforme au SFDR, la Société Générale démontre son engagement envers la durabilité, ce qui peut contribuer à renforcer sa réputation et la confiance de ses clients, investisseurs et parties prenantes.</w:t>
      </w:r>
      <w:r w:rsidRPr="002C78EB">
        <w:rPr>
          <w:lang w:val="fr-FR"/>
        </w:rPr>
        <w:br/>
      </w:r>
      <w:r w:rsidRPr="002C78EB">
        <w:rPr>
          <w:lang w:val="fr-FR"/>
        </w:rPr>
        <w:lastRenderedPageBreak/>
        <w:br/>
        <w:t>2. Risques financiers : La non-conformité peut entraîner des risques financiers tels que la réduction des opportunités d'investissement, l'augmentation du coût du capital et la dépréciation des investissements existants.</w:t>
      </w:r>
      <w:r w:rsidRPr="002C78EB">
        <w:rPr>
          <w:lang w:val="fr-FR"/>
        </w:rPr>
        <w:br/>
      </w:r>
      <w:r w:rsidRPr="002C78EB">
        <w:rPr>
          <w:lang w:val="fr-FR"/>
        </w:rPr>
        <w:br/>
        <w:t>3. Conformité réglementaire : Le non-respect du SFDR peut entraîner des sanctions financières ou juridiques, ainsi que des mesures d'application de la loi de la part des régulateurs.</w:t>
      </w:r>
      <w:r w:rsidRPr="002C78EB">
        <w:rPr>
          <w:lang w:val="fr-FR"/>
        </w:rPr>
        <w:br/>
      </w:r>
      <w:r w:rsidRPr="002C78EB">
        <w:rPr>
          <w:lang w:val="fr-FR"/>
        </w:rPr>
        <w:br/>
        <w:t>4. Gestion des risques : La divulgation des informations sur les risques liés à la durabilité aidant à les gérer de manière plus efficace, ce qui peut contribuer à la rentabilité à long terme.</w:t>
      </w:r>
      <w:r w:rsidRPr="002C78EB">
        <w:rPr>
          <w:lang w:val="fr-FR"/>
        </w:rPr>
        <w:br/>
      </w:r>
      <w:r w:rsidRPr="002C78EB">
        <w:rPr>
          <w:lang w:val="fr-FR"/>
        </w:rPr>
        <w:br/>
        <w:t>En cas de non-conformité, la Société Générale peut faire face à une série de risques. Cela pourrait inclure des sanctions financières de la part des régulateurs, des dommages à sa réputation, une baisse de la confiance des clients et des investisseurs, et des pertes financières dues à une mauvaise gestion des risques liés à la durabilité. De plus, elle pourrait renoncer à des opportunités commerciales alors que les clients et les investisseurs cherchent de plus en plus à faire affaire avec des entreprises qui respectent les normes de durabilité.</w:t>
      </w:r>
    </w:p>
    <w:p w14:paraId="5C47C147" w14:textId="77777777" w:rsidR="00425919" w:rsidRPr="002C78EB" w:rsidRDefault="00E45B94">
      <w:pPr>
        <w:pStyle w:val="Titre3"/>
        <w:rPr>
          <w:lang w:val="fr-FR"/>
        </w:rPr>
      </w:pPr>
      <w:r w:rsidRPr="002C78EB">
        <w:rPr>
          <w:lang w:val="fr-FR"/>
        </w:rPr>
        <w:t>Question 4</w:t>
      </w:r>
    </w:p>
    <w:p w14:paraId="47CE9696" w14:textId="77777777" w:rsidR="00425919" w:rsidRPr="002C78EB" w:rsidRDefault="00E45B94">
      <w:pPr>
        <w:rPr>
          <w:lang w:val="fr-FR"/>
        </w:rPr>
      </w:pPr>
      <w:r w:rsidRPr="002C78EB">
        <w:rPr>
          <w:lang w:val="fr-FR"/>
        </w:rPr>
        <w:t>Comment la Société Générale peut-elle concilier ses engagements environnementaux avec ses objectifs de rentabilité ?</w:t>
      </w:r>
    </w:p>
    <w:p w14:paraId="5B73D181" w14:textId="77777777" w:rsidR="00425919" w:rsidRPr="002C78EB" w:rsidRDefault="00E45B94">
      <w:pPr>
        <w:rPr>
          <w:lang w:val="fr-FR"/>
        </w:rPr>
      </w:pPr>
      <w:r w:rsidRPr="002C78EB">
        <w:rPr>
          <w:lang w:val="fr-FR"/>
        </w:rPr>
        <w:t>Réponse :</w:t>
      </w:r>
    </w:p>
    <w:p w14:paraId="053939FA" w14:textId="77777777" w:rsidR="00425919" w:rsidRPr="002C78EB" w:rsidRDefault="00E45B94">
      <w:pPr>
        <w:rPr>
          <w:lang w:val="fr-FR"/>
        </w:rPr>
      </w:pPr>
      <w:r w:rsidRPr="002C78EB">
        <w:rPr>
          <w:lang w:val="fr-FR"/>
        </w:rPr>
        <w:t>La conciliation des engagements environnementaux avec les objectifs de rentabilité peut sembler contradictoire pour une banque comme la Société Générale. Cependant, plusieurs stratégies peuvent être employées en ce sens.</w:t>
      </w:r>
      <w:r w:rsidRPr="002C78EB">
        <w:rPr>
          <w:lang w:val="fr-FR"/>
        </w:rPr>
        <w:br/>
      </w:r>
      <w:r w:rsidRPr="002C78EB">
        <w:rPr>
          <w:lang w:val="fr-FR"/>
        </w:rPr>
        <w:br/>
        <w:t>1. Financement vert : La Société Générale peut augmenter ses financements dans des projets verts ou durables, qui ont également un potentiel de rentabilité. Cela peut inclure des investissements en énergies renouvelables, en efficacité énergétique, en infrastructures durables, etc.</w:t>
      </w:r>
      <w:r w:rsidRPr="002C78EB">
        <w:rPr>
          <w:lang w:val="fr-FR"/>
        </w:rPr>
        <w:br/>
      </w:r>
      <w:r w:rsidRPr="002C78EB">
        <w:rPr>
          <w:lang w:val="fr-FR"/>
        </w:rPr>
        <w:br/>
        <w:t>2. Produits financiers durables : La banque peut également développer une gamme de produits financiers durables. Cela pourrait comprendre des prêts verts, des obligations vertes, des placements en actions d'entreprises à forte responsabilité environnementale, etc. Ces produits peuvent être rentables et attrayants pour les clients soucieux de l'environnement.</w:t>
      </w:r>
      <w:r w:rsidRPr="002C78EB">
        <w:rPr>
          <w:lang w:val="fr-FR"/>
        </w:rPr>
        <w:br/>
      </w:r>
      <w:r w:rsidRPr="002C78EB">
        <w:rPr>
          <w:lang w:val="fr-FR"/>
        </w:rPr>
        <w:br/>
        <w:t xml:space="preserve">3. Diminution des risques : En se concentrant davantage sur la durabilité, la Société Générale peut également réduire ses risques liés aux changements climatiques, qui sont de </w:t>
      </w:r>
      <w:r w:rsidRPr="002C78EB">
        <w:rPr>
          <w:lang w:val="fr-FR"/>
        </w:rPr>
        <w:lastRenderedPageBreak/>
        <w:t>plus en plus reconnus comme des risques financiers majeurs. Cela peut inclure des risques physiques (comme les dommages causés par l'augmentation des catastrophes naturelles) et des risques de transition (comme les changements de réglementations ou de préférences des consommateurs).</w:t>
      </w:r>
      <w:r w:rsidRPr="002C78EB">
        <w:rPr>
          <w:lang w:val="fr-FR"/>
        </w:rPr>
        <w:br/>
      </w:r>
      <w:r w:rsidRPr="002C78EB">
        <w:rPr>
          <w:lang w:val="fr-FR"/>
        </w:rPr>
        <w:br/>
        <w:t>4. Améliorer la réputation : En assumant un rôle de leader dans le domaine de la finance durable, la Société Générale peut améliorer sa réputation auprès des clients, des investisseurs et des régulateurs. Cela peut également conduire à une plus grande fidélité des clients et à de nouvelles opportunités d'affaires.</w:t>
      </w:r>
      <w:r w:rsidRPr="002C78EB">
        <w:rPr>
          <w:lang w:val="fr-FR"/>
        </w:rPr>
        <w:br/>
      </w:r>
      <w:r w:rsidRPr="002C78EB">
        <w:rPr>
          <w:lang w:val="fr-FR"/>
        </w:rPr>
        <w:br/>
        <w:t>5. Efficacité opérationnelle : Enfin, la banque peut également améliorer son propre bilan environnemental en réduisant ses consommations d'énergie, en optimisant ses processus de travail pour réduire leur empreinte carbone, ou en favorisant le recyclage et la réduction des déchets. Ces efforts peuvent également conduire à des économies de coûts et donc à une augmentation de la rentabilité.</w:t>
      </w:r>
      <w:r w:rsidRPr="002C78EB">
        <w:rPr>
          <w:lang w:val="fr-FR"/>
        </w:rPr>
        <w:br/>
      </w:r>
      <w:r w:rsidRPr="002C78EB">
        <w:rPr>
          <w:lang w:val="fr-FR"/>
        </w:rPr>
        <w:br/>
        <w:t>Cependant, pour réussir, cette transition nécessite une gouvernance solide, des compétences adéquates, une politique de gestion des risques environnementaux et une communication transparente avec toutes les parties prenantes. De plus, la banque doit aussi respecter le cadre réglementaire en termes de finance durable et de gestion des risques environnementaux, notamment les directives de la Banque Centrale Européenne et de l'Autorité Bancaire Européenne.</w:t>
      </w:r>
      <w:r w:rsidRPr="002C78EB">
        <w:rPr>
          <w:lang w:val="fr-FR"/>
        </w:rPr>
        <w:br/>
      </w:r>
    </w:p>
    <w:p w14:paraId="7F71E5D0" w14:textId="77777777" w:rsidR="00425919" w:rsidRPr="002C78EB" w:rsidRDefault="00E45B94">
      <w:pPr>
        <w:pStyle w:val="Titre3"/>
        <w:rPr>
          <w:lang w:val="fr-FR"/>
        </w:rPr>
      </w:pPr>
      <w:r w:rsidRPr="002C78EB">
        <w:rPr>
          <w:lang w:val="fr-FR"/>
        </w:rPr>
        <w:t>Question 5</w:t>
      </w:r>
    </w:p>
    <w:p w14:paraId="4F8A4D07" w14:textId="77777777" w:rsidR="00425919" w:rsidRPr="002C78EB" w:rsidRDefault="00E45B94">
      <w:pPr>
        <w:rPr>
          <w:lang w:val="fr-FR"/>
        </w:rPr>
      </w:pPr>
      <w:r w:rsidRPr="002C78EB">
        <w:rPr>
          <w:lang w:val="fr-FR"/>
        </w:rPr>
        <w:t>Quelle méthode de veille permettrait de suivre en temps réel les indicateurs financiers et les décisions de la BCE ?</w:t>
      </w:r>
    </w:p>
    <w:p w14:paraId="07B9F81D" w14:textId="77777777" w:rsidR="00425919" w:rsidRPr="002C78EB" w:rsidRDefault="00E45B94">
      <w:pPr>
        <w:rPr>
          <w:lang w:val="fr-FR"/>
        </w:rPr>
      </w:pPr>
      <w:r w:rsidRPr="002C78EB">
        <w:rPr>
          <w:lang w:val="fr-FR"/>
        </w:rPr>
        <w:t>Réponse :</w:t>
      </w:r>
    </w:p>
    <w:p w14:paraId="0470199A" w14:textId="77777777" w:rsidR="00425919" w:rsidRPr="002C78EB" w:rsidRDefault="00E45B94">
      <w:pPr>
        <w:rPr>
          <w:lang w:val="fr-FR"/>
        </w:rPr>
      </w:pPr>
      <w:r w:rsidRPr="002C78EB">
        <w:rPr>
          <w:lang w:val="fr-FR"/>
        </w:rPr>
        <w:t>Suivre en temps réel les indicateurs financiers et les décisions de la BCE nécessiterait un certain nombre de méthodes de veille :</w:t>
      </w:r>
      <w:r w:rsidRPr="002C78EB">
        <w:rPr>
          <w:lang w:val="fr-FR"/>
        </w:rPr>
        <w:br/>
      </w:r>
      <w:r w:rsidRPr="002C78EB">
        <w:rPr>
          <w:lang w:val="fr-FR"/>
        </w:rPr>
        <w:br/>
        <w:t>1. Services d'information financière en temps réel : Des plateformes comme Bloomberg, Reuters ou Morningstar Pro fournissent des données et informations financières en temps réel, des analyses de marché et des nouvelles concernant les autorités régulatrices comme la BCE.</w:t>
      </w:r>
      <w:r w:rsidRPr="002C78EB">
        <w:rPr>
          <w:lang w:val="fr-FR"/>
        </w:rPr>
        <w:br/>
      </w:r>
      <w:r w:rsidRPr="002C78EB">
        <w:rPr>
          <w:lang w:val="fr-FR"/>
        </w:rPr>
        <w:br/>
        <w:t>2. Alerte Google : Google propose un service de notifications lorsque de nouvelles informations ou articles sont publiés sur un sujet particulier. Il serait possible de paramétrer des alertes pour des termes tels que "BCE", "taux d'intérêt BCE", "Politique monétaire de la BCE", etc.</w:t>
      </w:r>
      <w:r w:rsidRPr="002C78EB">
        <w:rPr>
          <w:lang w:val="fr-FR"/>
        </w:rPr>
        <w:br/>
      </w:r>
      <w:r w:rsidRPr="002C78EB">
        <w:rPr>
          <w:lang w:val="fr-FR"/>
        </w:rPr>
        <w:br/>
        <w:t xml:space="preserve">3. Abonnement aux publications de la BCE : La BCE publie ses décisions de politique </w:t>
      </w:r>
      <w:r w:rsidRPr="002C78EB">
        <w:rPr>
          <w:lang w:val="fr-FR"/>
        </w:rPr>
        <w:lastRenderedPageBreak/>
        <w:t>monétaire, ses discours et ses comptes-rendus de réunions sur son site web. Il est possible de s'abonner à ces publications pour recevoir des notifications dès qu'elles sont publiées.</w:t>
      </w:r>
      <w:r w:rsidRPr="002C78EB">
        <w:rPr>
          <w:lang w:val="fr-FR"/>
        </w:rPr>
        <w:br/>
      </w:r>
      <w:r w:rsidRPr="002C78EB">
        <w:rPr>
          <w:lang w:val="fr-FR"/>
        </w:rPr>
        <w:br/>
        <w:t>4. Suivi des réseaux sociaux: Les plateformes comme Twitter sont souvent utilisées par les spécialistes financiers et les journalistes pour partager des nouvelles et des analyses en temps réel. En suivant les comptes appropriés, il serait possible de rester informé des derniers développements.</w:t>
      </w:r>
      <w:r w:rsidRPr="002C78EB">
        <w:rPr>
          <w:lang w:val="fr-FR"/>
        </w:rPr>
        <w:br/>
      </w:r>
      <w:r w:rsidRPr="002C78EB">
        <w:rPr>
          <w:lang w:val="fr-FR"/>
        </w:rPr>
        <w:br/>
        <w:t xml:space="preserve">5. Outils de suivi du marché : Il existe des plateformes et des applications spécifiques qui permettent un suivi en temps réel des indicateurs financiers tels que les indices boursiers, les taux de change, les taux d'intérêt, etc. </w:t>
      </w:r>
      <w:r w:rsidRPr="002C78EB">
        <w:rPr>
          <w:lang w:val="fr-FR"/>
        </w:rPr>
        <w:br/>
      </w:r>
      <w:r w:rsidRPr="002C78EB">
        <w:rPr>
          <w:lang w:val="fr-FR"/>
        </w:rPr>
        <w:br/>
        <w:t>Toutes ces méthodes requièrent une analyse et une interprétation soigneuse des informations recueillies pour pouvoir prendre des décisions de veille stratégique.</w:t>
      </w:r>
    </w:p>
    <w:p w14:paraId="5B92CABD" w14:textId="77777777" w:rsidR="00425919" w:rsidRPr="002C78EB" w:rsidRDefault="00E45B94">
      <w:pPr>
        <w:pStyle w:val="Titre3"/>
        <w:rPr>
          <w:lang w:val="fr-FR"/>
        </w:rPr>
      </w:pPr>
      <w:r w:rsidRPr="002C78EB">
        <w:rPr>
          <w:lang w:val="fr-FR"/>
        </w:rPr>
        <w:t>Question 6</w:t>
      </w:r>
    </w:p>
    <w:p w14:paraId="29788B6E" w14:textId="77777777" w:rsidR="00425919" w:rsidRPr="002C78EB" w:rsidRDefault="00E45B94">
      <w:pPr>
        <w:rPr>
          <w:lang w:val="fr-FR"/>
        </w:rPr>
      </w:pPr>
      <w:r w:rsidRPr="002C78EB">
        <w:rPr>
          <w:lang w:val="fr-FR"/>
        </w:rPr>
        <w:t>Quels indicateurs recommander pour surveiller la conformité réglementaire et les engagements RSE de la Société Générale ?</w:t>
      </w:r>
    </w:p>
    <w:p w14:paraId="1089BB7A" w14:textId="77777777" w:rsidR="00425919" w:rsidRPr="002C78EB" w:rsidRDefault="00E45B94">
      <w:pPr>
        <w:rPr>
          <w:lang w:val="fr-FR"/>
        </w:rPr>
      </w:pPr>
      <w:r w:rsidRPr="002C78EB">
        <w:rPr>
          <w:lang w:val="fr-FR"/>
        </w:rPr>
        <w:t>Réponse :</w:t>
      </w:r>
    </w:p>
    <w:p w14:paraId="0EE9F9DC" w14:textId="77777777" w:rsidR="00425919" w:rsidRPr="002C78EB" w:rsidRDefault="00E45B94">
      <w:pPr>
        <w:rPr>
          <w:lang w:val="fr-FR"/>
        </w:rPr>
      </w:pPr>
      <w:r w:rsidRPr="002C78EB">
        <w:rPr>
          <w:lang w:val="fr-FR"/>
        </w:rPr>
        <w:t>La surveillance de la conformité réglementaire et des engagements RSE (Responsabilité Sociale des Entreprises) implique l'examen de divers indicateurs clés. En ce qui concerne la Société Générale, voici quelques-uns des indicateurs recommandés :</w:t>
      </w:r>
      <w:r w:rsidRPr="002C78EB">
        <w:rPr>
          <w:lang w:val="fr-FR"/>
        </w:rPr>
        <w:br/>
      </w:r>
      <w:r w:rsidRPr="002C78EB">
        <w:rPr>
          <w:lang w:val="fr-FR"/>
        </w:rPr>
        <w:br/>
        <w:t>Indicateurs de conformité réglementaire :</w:t>
      </w:r>
      <w:r w:rsidRPr="002C78EB">
        <w:rPr>
          <w:lang w:val="fr-FR"/>
        </w:rPr>
        <w:br/>
      </w:r>
      <w:r w:rsidRPr="002C78EB">
        <w:rPr>
          <w:lang w:val="fr-FR"/>
        </w:rPr>
        <w:br/>
        <w:t>1. Ratio de fonds propre Tier 1 : Il s'agit d'un indicateur de solvabilité qui indique la capitalisation de la banque et sa capacité à absorber les pertes. Il doit être conforme aux normes de Bâle III.</w:t>
      </w:r>
      <w:r w:rsidRPr="002C78EB">
        <w:rPr>
          <w:lang w:val="fr-FR"/>
        </w:rPr>
        <w:br/>
      </w:r>
      <w:r w:rsidRPr="002C78EB">
        <w:rPr>
          <w:lang w:val="fr-FR"/>
        </w:rPr>
        <w:br/>
        <w:t>2. Ratio de liquidité à court terme ou LCR (Liquidity Coverage Ratio) : Cet indicité mesure la capacité de la banque à survivre à un stress financier sur une période de 30 jours.</w:t>
      </w:r>
      <w:r w:rsidRPr="002C78EB">
        <w:rPr>
          <w:lang w:val="fr-FR"/>
        </w:rPr>
        <w:br/>
      </w:r>
      <w:r w:rsidRPr="002C78EB">
        <w:rPr>
          <w:lang w:val="fr-FR"/>
        </w:rPr>
        <w:br/>
        <w:t>3. Ratio de levier : Mesure le montant total des actifs de la banque par rapport à son capital.</w:t>
      </w:r>
      <w:r w:rsidRPr="002C78EB">
        <w:rPr>
          <w:lang w:val="fr-FR"/>
        </w:rPr>
        <w:br/>
      </w:r>
      <w:r w:rsidRPr="002C78EB">
        <w:rPr>
          <w:lang w:val="fr-FR"/>
        </w:rPr>
        <w:br/>
        <w:t>4. Ratio de prêts non performants (NPL) : il indique l'état de santé de la banque en termes de qualité de ses actifs.</w:t>
      </w:r>
      <w:r w:rsidRPr="002C78EB">
        <w:rPr>
          <w:lang w:val="fr-FR"/>
        </w:rPr>
        <w:br/>
      </w:r>
      <w:r w:rsidRPr="002C78EB">
        <w:rPr>
          <w:lang w:val="fr-FR"/>
        </w:rPr>
        <w:br/>
        <w:t>5. Respect des exigences réglementaires de reporting : Ce sont les informations ou les données que les banques doivent rapporter régulièrement aux régulateurs pour assurer leur conformité aux lois et réglementations en vigueur.</w:t>
      </w:r>
      <w:r w:rsidRPr="002C78EB">
        <w:rPr>
          <w:lang w:val="fr-FR"/>
        </w:rPr>
        <w:br/>
      </w:r>
      <w:r w:rsidRPr="002C78EB">
        <w:rPr>
          <w:lang w:val="fr-FR"/>
        </w:rPr>
        <w:br/>
        <w:t>Indicateurs RSE :</w:t>
      </w:r>
      <w:r w:rsidRPr="002C78EB">
        <w:rPr>
          <w:lang w:val="fr-FR"/>
        </w:rPr>
        <w:br/>
      </w:r>
      <w:r w:rsidRPr="002C78EB">
        <w:rPr>
          <w:lang w:val="fr-FR"/>
        </w:rPr>
        <w:lastRenderedPageBreak/>
        <w:br/>
        <w:t>1. Empreinte carbone : Mesure l'impact écologique des activités de la Société Générale.</w:t>
      </w:r>
      <w:r w:rsidRPr="002C78EB">
        <w:rPr>
          <w:lang w:val="fr-FR"/>
        </w:rPr>
        <w:br/>
      </w:r>
      <w:r w:rsidRPr="002C78EB">
        <w:rPr>
          <w:lang w:val="fr-FR"/>
        </w:rPr>
        <w:br/>
        <w:t>2. Pourcentage de financement des énergies renouvelables : Cela indique l'engagement de la banque envers la durabilité environnementale.</w:t>
      </w:r>
      <w:r w:rsidRPr="002C78EB">
        <w:rPr>
          <w:lang w:val="fr-FR"/>
        </w:rPr>
        <w:br/>
      </w:r>
      <w:r w:rsidRPr="002C78EB">
        <w:rPr>
          <w:lang w:val="fr-FR"/>
        </w:rPr>
        <w:br/>
        <w:t>3. Ratio d'égalité des genres au sein de l'entreprise.</w:t>
      </w:r>
      <w:r w:rsidRPr="002C78EB">
        <w:rPr>
          <w:lang w:val="fr-FR"/>
        </w:rPr>
        <w:br/>
      </w:r>
      <w:r w:rsidRPr="002C78EB">
        <w:rPr>
          <w:lang w:val="fr-FR"/>
        </w:rPr>
        <w:br/>
        <w:t>4. Indicateur de satisfaction des employés via des enquêtes ou des évaluations anonymes.</w:t>
      </w:r>
      <w:r w:rsidRPr="002C78EB">
        <w:rPr>
          <w:lang w:val="fr-FR"/>
        </w:rPr>
        <w:br/>
      </w:r>
      <w:r w:rsidRPr="002C78EB">
        <w:rPr>
          <w:lang w:val="fr-FR"/>
        </w:rPr>
        <w:br/>
        <w:t>5. Contributions communautaires et philanthropiques : Il s'agit de mesurer combien la Société Générale donne en dons de charité ou investit dans des projets communautaires.</w:t>
      </w:r>
      <w:r w:rsidRPr="002C78EB">
        <w:rPr>
          <w:lang w:val="fr-FR"/>
        </w:rPr>
        <w:br/>
      </w:r>
      <w:r w:rsidRPr="002C78EB">
        <w:rPr>
          <w:lang w:val="fr-FR"/>
        </w:rPr>
        <w:br/>
        <w:t>6. Formation et développement des compétences des employés : Il s'agit de comprendre l'investissement de la banque en termes de formation et de développement de ses employés.</w:t>
      </w:r>
      <w:r w:rsidRPr="002C78EB">
        <w:rPr>
          <w:lang w:val="fr-FR"/>
        </w:rPr>
        <w:br/>
      </w:r>
      <w:r w:rsidRPr="002C78EB">
        <w:rPr>
          <w:lang w:val="fr-FR"/>
        </w:rPr>
        <w:br/>
        <w:t>Il est crucial de surveiller ces indicateurs régulièrement afin d'évaluer la conformité réglementaire et les engagements RSE de la Société Générale.</w:t>
      </w:r>
    </w:p>
    <w:sectPr w:rsidR="00425919" w:rsidRPr="002C7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76838057">
    <w:abstractNumId w:val="8"/>
  </w:num>
  <w:num w:numId="2" w16cid:durableId="186065133">
    <w:abstractNumId w:val="6"/>
  </w:num>
  <w:num w:numId="3" w16cid:durableId="2127960763">
    <w:abstractNumId w:val="5"/>
  </w:num>
  <w:num w:numId="4" w16cid:durableId="1981231663">
    <w:abstractNumId w:val="4"/>
  </w:num>
  <w:num w:numId="5" w16cid:durableId="1010328612">
    <w:abstractNumId w:val="7"/>
  </w:num>
  <w:num w:numId="6" w16cid:durableId="2006203558">
    <w:abstractNumId w:val="3"/>
  </w:num>
  <w:num w:numId="7" w16cid:durableId="788356687">
    <w:abstractNumId w:val="2"/>
  </w:num>
  <w:num w:numId="8" w16cid:durableId="1642223350">
    <w:abstractNumId w:val="1"/>
  </w:num>
  <w:num w:numId="9" w16cid:durableId="31210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8EB"/>
    <w:rsid w:val="00326F90"/>
    <w:rsid w:val="003F0656"/>
    <w:rsid w:val="00425919"/>
    <w:rsid w:val="009E576A"/>
    <w:rsid w:val="00AA07A2"/>
    <w:rsid w:val="00AA1D8D"/>
    <w:rsid w:val="00AB7E98"/>
    <w:rsid w:val="00B47730"/>
    <w:rsid w:val="00B72DC9"/>
    <w:rsid w:val="00CB0664"/>
    <w:rsid w:val="00E45B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2C7C"/>
  <w14:defaultImageDpi w14:val="330"/>
  <w15:docId w15:val="{FE90B59F-90B0-45F3-B57F-C2D1CAC0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7</Pages>
  <Words>2018</Words>
  <Characters>11608</Characters>
  <Application>Microsoft Office Word</Application>
  <DocSecurity>0</DocSecurity>
  <Lines>246</Lines>
  <Paragraphs>112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Karim REBIAI</cp:lastModifiedBy>
  <cp:revision>1</cp:revision>
  <dcterms:created xsi:type="dcterms:W3CDTF">2013-12-23T23:15:00Z</dcterms:created>
  <dcterms:modified xsi:type="dcterms:W3CDTF">2025-03-30T13:40:00Z</dcterms:modified>
  <cp:category/>
</cp:coreProperties>
</file>