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客户体验评估报告</w:t>
      </w:r>
    </w:p>
    <w:p>
      <w:r>
        <w:t>报告期：截至 2024-09-10</w:t>
      </w:r>
    </w:p>
    <w:p>
      <w:r>
        <w:t>撰写部门：综合管理部</w:t>
      </w:r>
    </w:p>
    <w:p>
      <w:r>
        <w:t>一、总体结论</w:t>
      </w:r>
    </w:p>
    <w:p>
      <w:r>
        <w:t>本期 客户体验 总体保持稳定，关键指标较上期略有提升，但在客户满意度与流程时效方面仍存在改进空间。</w:t>
      </w:r>
    </w:p>
    <w:p>
      <w:r>
        <w:t>二、关键数据</w:t>
      </w:r>
    </w:p>
    <w:p>
      <w:r>
        <w:t>- 月度活跃用户数同比增长 12.4%；</w:t>
      </w:r>
    </w:p>
    <w:p>
      <w:r>
        <w:t>- 平均处理时长由 3.7 天下降至 2.9 天；</w:t>
      </w:r>
    </w:p>
    <w:p>
      <w:r>
        <w:t>- 客户投诉率较上季度下降 0.3 个百分点。</w:t>
      </w:r>
    </w:p>
    <w:p>
      <w:r>
        <w:t>三、问题分析</w:t>
      </w:r>
    </w:p>
    <w:p>
      <w:r>
        <w:t>在日常监控中观察到三类高频问题：流程审批节点过多、跨部门协作信息断点、以及指标口径在不同系统间存在差异。</w:t>
      </w:r>
    </w:p>
    <w:p>
      <w:r>
        <w:t>四、改进建议</w:t>
      </w:r>
    </w:p>
    <w:p>
      <w:r>
        <w:t>建议下一周期重点推进：审批链路精简、统一指标口径、跨部门看板可视化。</w:t>
      </w:r>
    </w:p>
    <w:p>
      <w:r>
        <w:t>五、附录</w:t>
      </w:r>
    </w:p>
    <w:p>
      <w:r>
        <w:t>附录列出本期所有数据源、采样口径与异常事件清单，详见附件。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