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SAR-Flags</w:t>
        <w:br/>
      </w:r>
      <w:r>
        <w:rPr>
          <w:b/>
        </w:rPr>
        <w:t xml:space="preserve">Message: </w:t>
      </w:r>
      <w:r>
        <w:t>Server-Assignment-Request (SAR)</w:t>
        <w:br/>
      </w:r>
      <w:r>
        <w:rPr>
          <w:b/>
        </w:rPr>
        <w:t xml:space="preserve">Interface: </w:t>
      </w:r>
      <w:r>
        <w:t>Cx (3GPP TS 29.228 / TS 29.229)</w:t>
        <w:br/>
      </w:r>
      <w:r>
        <w:rPr>
          <w:b/>
        </w:rPr>
        <w:t xml:space="preserve">Extraction Date: </w:t>
      </w:r>
      <w:r>
        <w:t>2026-03-10 14:04:31</w:t>
      </w:r>
    </w:p>
    <w:p/>
    <w:p>
      <w:r>
        <w:rPr>
          <w:b/>
          <w:sz w:val="24"/>
        </w:rPr>
        <w:t>AVP Path:</w:t>
      </w:r>
    </w:p>
    <w:p/>
    <w:p>
      <w:r>
        <w:t>[Level 0] SAR-Flags</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SAR-Flags</w:t>
      </w:r>
    </w:p>
    <w:p/>
    <w:p>
      <w:pPr>
        <w:pStyle w:val="Heading3"/>
      </w:pPr>
      <w:r>
        <w:t>6.3.63</w:t>
      </w:r>
      <w:r>
        <w:tab/>
      </w:r>
      <w:r>
        <w:t>SAR-</w:t>
      </w:r>
      <w:r>
        <w:t>Flags</w:t>
      </w:r>
    </w:p>
    <w:p>
      <w:r>
        <w:t>The SAR-Flags AVP is of type Unsigned32 and it contains a bit mask. The meaning of the bits is defined in the following table:</w:t>
      </w:r>
    </w:p>
    <w:p>
      <w:r>
        <w:t>Table 6.3.63.1: SAR-Flags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1815"/>
        <w:gridCol w:w="7360"/>
      </w:tblGrid>
      <w:tr w:rsidR="00771BC5" w14:paraId="288D3161" w14:textId="77777777" w:rsidTr="00AF4688">
        <w:trPr>
          <w:cantSplit/>
          <w:jc w:val="center"/>
        </w:trPr>
        <w:tc>
          <w:tcPr>
            <w:tcW w:w="0" w:type="auto"/>
            <w:tcBorders>
              <w:top w:val="single" w:sz="4" w:space="0" w:color="auto"/>
              <w:left w:val="single" w:sz="4" w:space="0" w:color="auto"/>
              <w:bottom w:val="single" w:sz="4" w:space="0" w:color="auto"/>
              <w:right w:val="single" w:sz="4" w:space="0" w:color="auto"/>
            </w:tcBorders>
            <w:shd w:val="clear" w:color="auto" w:fill="E0E0E0"/>
          </w:tcPr>
          <w:p w14:paraId="4E1FF1A9" w14:textId="77777777" w:rsidR="00771BC5" w:rsidRDefault="00771BC5" w:rsidP="00AF4688">
            <w:pPr>
              <w:pStyle w:val="TAH"/>
            </w:pPr>
            <w:r>
              <w:t>Bit</w:t>
            </w:r>
          </w:p>
        </w:tc>
        <w:tc>
          <w:tcPr>
            <w:tcW w:w="0" w:type="auto"/>
            <w:tcBorders>
              <w:top w:val="single" w:sz="4" w:space="0" w:color="auto"/>
              <w:left w:val="single" w:sz="4" w:space="0" w:color="auto"/>
              <w:bottom w:val="single" w:sz="4" w:space="0" w:color="auto"/>
              <w:right w:val="single" w:sz="4" w:space="0" w:color="auto"/>
            </w:tcBorders>
            <w:shd w:val="clear" w:color="auto" w:fill="E0E0E0"/>
          </w:tcPr>
          <w:p w14:paraId="3A86C181" w14:textId="77777777" w:rsidR="00771BC5" w:rsidRDefault="00771BC5" w:rsidP="00AF4688">
            <w:pPr>
              <w:pStyle w:val="TAH"/>
            </w:pPr>
            <w:r>
              <w:t>Name</w:t>
            </w:r>
          </w:p>
        </w:tc>
        <w:tc>
          <w:tcPr>
            <w:tcW w:w="0" w:type="auto"/>
            <w:tcBorders>
              <w:top w:val="single" w:sz="4" w:space="0" w:color="auto"/>
              <w:left w:val="single" w:sz="4" w:space="0" w:color="auto"/>
              <w:bottom w:val="single" w:sz="4" w:space="0" w:color="auto"/>
              <w:right w:val="single" w:sz="4" w:space="0" w:color="auto"/>
            </w:tcBorders>
            <w:shd w:val="clear" w:color="auto" w:fill="E0E0E0"/>
          </w:tcPr>
          <w:p w14:paraId="5EBA34EC" w14:textId="77777777" w:rsidR="00771BC5" w:rsidRDefault="00771BC5" w:rsidP="00AF4688">
            <w:pPr>
              <w:pStyle w:val="TAH"/>
            </w:pPr>
            <w:r>
              <w:t>Description</w:t>
            </w:r>
          </w:p>
        </w:tc>
      </w:tr>
      <w:tr w:rsidR="00771BC5" w14:paraId="65667DDE" w14:textId="77777777" w:rsidTr="00AF4688">
        <w:trPr>
          <w:cantSplit/>
          <w:jc w:val="center"/>
        </w:trPr>
        <w:tc>
          <w:tcPr>
            <w:tcW w:w="0" w:type="auto"/>
            <w:tcBorders>
              <w:top w:val="single" w:sz="4" w:space="0" w:color="auto"/>
              <w:left w:val="single" w:sz="4" w:space="0" w:color="auto"/>
              <w:bottom w:val="single" w:sz="4" w:space="0" w:color="auto"/>
              <w:right w:val="single" w:sz="4" w:space="0" w:color="auto"/>
            </w:tcBorders>
          </w:tcPr>
          <w:p w14:paraId="4BAC2271" w14:textId="77777777" w:rsidR="00771BC5" w:rsidRDefault="00771BC5" w:rsidP="00AF4688">
            <w:pPr>
              <w:pStyle w:val="TAC"/>
            </w:pPr>
            <w:r>
              <w:t>0</w:t>
            </w:r>
          </w:p>
        </w:tc>
        <w:tc>
          <w:tcPr>
            <w:tcW w:w="0" w:type="auto"/>
            <w:tcBorders>
              <w:top w:val="single" w:sz="4" w:space="0" w:color="auto"/>
              <w:left w:val="single" w:sz="4" w:space="0" w:color="auto"/>
              <w:bottom w:val="single" w:sz="4" w:space="0" w:color="auto"/>
              <w:right w:val="single" w:sz="4" w:space="0" w:color="auto"/>
            </w:tcBorders>
          </w:tcPr>
          <w:p w14:paraId="25B2187A" w14:textId="77777777" w:rsidR="00771BC5" w:rsidRPr="00DF4ECE" w:rsidRDefault="00771BC5" w:rsidP="00AF4688">
            <w:pPr>
              <w:pStyle w:val="TAL"/>
            </w:pPr>
            <w:r>
              <w:t>P-CSCF Restoration Indication</w:t>
            </w:r>
          </w:p>
        </w:tc>
        <w:tc>
          <w:tcPr>
            <w:tcW w:w="0" w:type="auto"/>
            <w:tcBorders>
              <w:top w:val="single" w:sz="4" w:space="0" w:color="auto"/>
              <w:left w:val="single" w:sz="4" w:space="0" w:color="auto"/>
              <w:bottom w:val="single" w:sz="4" w:space="0" w:color="auto"/>
              <w:right w:val="single" w:sz="4" w:space="0" w:color="auto"/>
            </w:tcBorders>
          </w:tcPr>
          <w:p w14:paraId="3C61C87A" w14:textId="77777777" w:rsidR="00771BC5" w:rsidRDefault="00771BC5" w:rsidP="00AF4688">
            <w:pPr>
              <w:pStyle w:val="TAL"/>
            </w:pPr>
            <w:r>
              <w:t>This bit, when set, indicates that the P-CSCF-Restoration-mechanism feature shall be executed, as described in 3GPP TS 23.380 [24], clause 5.4.</w:t>
            </w:r>
          </w:p>
          <w:p w14:paraId="0E54C717" w14:textId="77777777" w:rsidR="00771BC5" w:rsidRDefault="00771BC5" w:rsidP="00AF4688">
            <w:pPr>
              <w:pStyle w:val="TAL"/>
            </w:pPr>
            <w:r>
              <w:t>This AVP is optionally present only when Server-Assignment-Type takes the value ADMINISTRATIVE_DEREGISTRATION or UNREGISTERED_USER.</w:t>
            </w:r>
          </w:p>
        </w:tc>
      </w:tr>
      <w:tr w:rsidR="00771BC5" w14:paraId="60575E16" w14:textId="77777777" w:rsidTr="00AF4688">
        <w:trPr>
          <w:cantSplit/>
          <w:jc w:val="center"/>
        </w:trPr>
        <w:tc>
          <w:tcPr>
            <w:tcW w:w="0" w:type="auto"/>
            <w:gridSpan w:val="3"/>
            <w:tcBorders>
              <w:top w:val="single" w:sz="4" w:space="0" w:color="auto"/>
              <w:left w:val="single" w:sz="4" w:space="0" w:color="auto"/>
              <w:bottom w:val="single" w:sz="4" w:space="0" w:color="auto"/>
              <w:right w:val="single" w:sz="4" w:space="0" w:color="auto"/>
            </w:tcBorders>
          </w:tcPr>
          <w:p w14:paraId="27F7968D" w14:textId="77777777" w:rsidR="00771BC5" w:rsidRDefault="00771BC5" w:rsidP="00AF4688">
            <w:pPr>
              <w:pStyle w:val="TAN"/>
            </w:pPr>
            <w:r>
              <w:t>Note:</w:t>
            </w:r>
            <w:r>
              <w:tab/>
              <w:t>Bits not defined in this table shall be cleared by the sending S-CSCF and discarded by the receiving HSS.</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