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User-Authorization-Type</w:t>
        <w:br/>
      </w:r>
      <w:r>
        <w:rPr>
          <w:b/>
        </w:rPr>
        <w:t xml:space="preserve">Message: </w:t>
      </w:r>
      <w:r>
        <w:t>User-Authorization-Request (UAR)</w:t>
        <w:br/>
      </w:r>
      <w:r>
        <w:rPr>
          <w:b/>
        </w:rPr>
        <w:t xml:space="preserve">Interface: </w:t>
      </w:r>
      <w:r>
        <w:t>Cx (3GPP TS 29.228 / TS 29.229)</w:t>
        <w:br/>
      </w:r>
      <w:r>
        <w:rPr>
          <w:b/>
        </w:rPr>
        <w:t xml:space="preserve">Extraction Date: </w:t>
      </w:r>
      <w:r>
        <w:t>2026-03-10 14:07:36</w:t>
      </w:r>
    </w:p>
    <w:p/>
    <w:p>
      <w:r>
        <w:rPr>
          <w:b/>
          <w:sz w:val="24"/>
        </w:rPr>
        <w:t>AVP Path:</w:t>
      </w:r>
    </w:p>
    <w:p/>
    <w:p>
      <w:r>
        <w:t>[Level 0] User-Authorization-Type</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w:t>
      </w:r>
      <w:r>
        <w:tab/>
        <w:t>User-Authorization-Request (UAR) Command</w:t>
      </w:r>
    </w:p>
    <w:p>
      <w:r>
        <w:t xml:space="preserve">The User-Authorization-Request (UAR) command, indicated by the Command-Code field set to 300 and the </w:t>
      </w:r>
      <w:r>
        <w:t>'</w:t>
      </w:r>
      <w:r>
        <w:t>R</w:t>
      </w:r>
      <w:r>
        <w:t>'</w:t>
      </w:r>
      <w:r>
        <w:t xml:space="preserve"> bit set in the Command Flags field, is sent by a Diameter Multimedia client to a Diameter Multimedia server in order to request the authorization of the registration of a multimedia user.</w:t>
      </w:r>
    </w:p>
    <w:p>
      <w:r>
        <w:t>Message Format</w:t>
      </w:r>
    </w:p>
    <w:p>
      <w:r>
        <w:t>&lt; User-Authorization-Request</w:t>
      </w:r>
      <w:r>
        <w:t>&gt; ::=</w:t>
      </w:r>
      <w:r>
        <w:tab/>
      </w:r>
      <w:r>
        <w:t>&lt; Diameter Header: 300,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t>[ OC-Supported-</w:t>
      </w:r>
      <w:r>
        <w:t>Features ]</w:t>
      </w:r>
    </w:p>
    <w:p>
      <w:r>
        <w:t>*</w:t>
      </w:r>
      <w:r>
        <w:rPr>
          <w:b/>
        </w:rPr>
        <w:t>[ Supported-</w:t>
      </w:r>
      <w:r>
        <w:rPr>
          <w:b/>
        </w:rPr>
        <w:t>Features ]</w:t>
      </w:r>
    </w:p>
    <w:p>
      <w:r>
        <w:rPr>
          <w:b/>
        </w:rPr>
        <w:t>{ Public</w:t>
      </w:r>
      <w:r>
        <w:rPr>
          <w:b/>
        </w:rPr>
        <w:t>-Identity }</w:t>
      </w:r>
    </w:p>
    <w:p>
      <w:r>
        <w:rPr>
          <w:b/>
        </w:rPr>
        <w:t>{ Visited</w:t>
      </w:r>
      <w:r>
        <w:rPr>
          <w:b/>
        </w:rPr>
        <w:t>-Network-Identifier }</w:t>
      </w:r>
    </w:p>
    <w:p>
      <w:r>
        <w:rPr>
          <w:b/>
        </w:rPr>
        <w:t>[ User-Authorization-</w:t>
      </w:r>
      <w:r>
        <w:rPr>
          <w:b/>
        </w:rPr>
        <w:t>Type ]</w:t>
      </w:r>
    </w:p>
    <w:p>
      <w:r>
        <w:rPr>
          <w:b/>
        </w:rPr>
        <w:t>[ UAR-</w:t>
      </w:r>
      <w:r>
        <w:rPr>
          <w:b/>
        </w:rPr>
        <w:t>Flags ]</w:t>
      </w:r>
    </w:p>
    <w:p>
      <w:r>
        <w:t xml:space="preserve">*[ </w:t>
      </w:r>
      <w:r>
        <w:t>AVP ]</w:t>
      </w:r>
    </w:p>
    <w:p>
      <w:r>
        <w:t>*[ Proxy-</w:t>
      </w:r>
      <w:r>
        <w:t>Info ]</w:t>
      </w:r>
    </w:p>
    <w:p>
      <w:r>
        <w:t>*[ Route-</w:t>
      </w:r>
      <w:r>
        <w:t>Record ]</w:t>
      </w:r>
    </w:p>
    <w:p/>
    <w:p>
      <w:r>
        <w:rPr>
          <w:b/>
          <w:sz w:val="28"/>
        </w:rPr>
        <w:t>Message Procedure/Behavior (TS 29.228)</w:t>
      </w:r>
    </w:p>
    <w:p/>
    <w:p>
      <w:pPr>
        <w:pStyle w:val="Heading3"/>
      </w:pPr>
      <w:r>
        <w:t>6.1.1</w:t>
      </w:r>
      <w:r>
        <w:tab/>
        <w:t>User registration status query</w:t>
      </w:r>
    </w:p>
    <w:p>
      <w:r>
        <w:t>This procedure is used between the I-CSCF and the HSS during SIP registrations. The procedure is invoked by the I-CSCF, corresponds to the combination of the functional level operations Cx-Query and Cx-Select-Pull (see  TS 23.228 [1]) and is used:</w:t>
      </w:r>
    </w:p>
    <w:p>
      <w:r>
        <w:t>-</w:t>
      </w:r>
      <w:r>
        <w:tab/>
        <w:t>To authorize the registration of the distinct Public User Identity, checking multimedia subsystem access permissions and roaming agreements.</w:t>
      </w:r>
    </w:p>
    <w:p>
      <w:r>
        <w:t>-</w:t>
      </w:r>
      <w:r>
        <w:tab/>
        <w:t>To perform a first security check, determining whether the distinct Public User Identity in the message is associated with the Private User Identity sent in the message.</w:t>
      </w:r>
    </w:p>
    <w:p>
      <w:r>
        <w:t>-</w:t>
      </w:r>
      <w:r>
        <w:tab/>
        <w:t>To obtain either the S-CSCF where the distinct Public User Identity is registered or unregistered (i.e. registered as a consequence of an originating or terminating request or there is a S-CSCF keeping the user profile stored), or the list of capabilities that the S-CSCF has to support.</w:t>
      </w:r>
    </w:p>
    <w:p>
      <w:r>
        <w:t>This procedure is mapped to the commands User-Authorization-Request/Answer in the Diameter application specified in  TS 29.229 [5]. Tables 6.1.1.1 and 6.1.1.2 detail the involved information elements.</w:t>
      </w:r>
    </w:p>
    <w:p>
      <w:r>
        <w:t>Table 6.1.1.</w:t>
      </w:r>
      <w:r>
        <w:t>1</w:t>
      </w:r>
      <w:r>
        <w:t>: User registration status query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6"/>
        <w:gridCol w:w="603"/>
        <w:gridCol w:w="6237"/>
      </w:tblGrid>
      <w:tr w:rsidR="009D1697" w14:paraId="04AA656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FAED8C5" w14:textId="77777777" w:rsidR="009D1697" w:rsidRDefault="009D1697">
            <w:pPr>
              <w:pStyle w:val="TAH"/>
            </w:pPr>
            <w:r>
              <w:t>Information element name</w:t>
            </w:r>
          </w:p>
        </w:tc>
        <w:tc>
          <w:tcPr>
            <w:tcW w:w="1416" w:type="dxa"/>
            <w:tcBorders>
              <w:top w:val="single" w:sz="12" w:space="0" w:color="auto"/>
              <w:left w:val="single" w:sz="6" w:space="0" w:color="auto"/>
              <w:bottom w:val="single" w:sz="6" w:space="0" w:color="auto"/>
              <w:right w:val="single" w:sz="6" w:space="0" w:color="auto"/>
            </w:tcBorders>
            <w:shd w:val="clear" w:color="auto" w:fill="E0E0E0"/>
            <w:hideMark/>
          </w:tcPr>
          <w:p w14:paraId="61BECD4A"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FD673E9"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1299E4B" w14:textId="77777777" w:rsidR="009D1697" w:rsidRDefault="009D1697">
            <w:pPr>
              <w:pStyle w:val="TAH"/>
              <w:rPr>
                <w:lang w:val="fr-FR"/>
              </w:rPr>
            </w:pPr>
            <w:r>
              <w:rPr>
                <w:lang w:val="fr-FR"/>
              </w:rPr>
              <w:t>Description</w:t>
            </w:r>
          </w:p>
        </w:tc>
      </w:tr>
      <w:tr w:rsidR="009D1697" w14:paraId="3EA52AB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8012F89" w14:textId="77777777" w:rsidR="009D1697" w:rsidRDefault="009D1697">
            <w:pPr>
              <w:pStyle w:val="TAL"/>
            </w:pPr>
            <w:r>
              <w:t>Public User Identity</w:t>
            </w:r>
          </w:p>
          <w:p w14:paraId="00894BB4" w14:textId="77777777" w:rsidR="009D1697" w:rsidRDefault="009D1697">
            <w:pPr>
              <w:pStyle w:val="TAL"/>
              <w:rPr>
                <w:lang w:val="en-AU"/>
              </w:rPr>
            </w:pPr>
            <w:r>
              <w:rPr>
                <w:lang w:val="en-AU"/>
              </w:rPr>
              <w:t>(Se</w:t>
            </w:r>
            <w:bookmarkStart w:id="74" w:name="_Hlt6719364"/>
            <w:r>
              <w:rPr>
                <w:lang w:val="en-AU"/>
              </w:rPr>
              <w:t>e</w:t>
            </w:r>
            <w:bookmarkEnd w:id="74"/>
            <w:r>
              <w:rPr>
                <w:lang w:val="en-AU"/>
              </w:rPr>
              <w:t xml:space="preserve"> </w:t>
            </w:r>
            <w:r>
              <w:t>7.2</w:t>
            </w:r>
            <w:r>
              <w:rPr>
                <w:lang w:val="en-AU"/>
              </w:rPr>
              <w:t>)</w:t>
            </w:r>
            <w:r>
              <w:t xml:space="preserve"> </w:t>
            </w:r>
          </w:p>
        </w:tc>
        <w:tc>
          <w:tcPr>
            <w:tcW w:w="1416" w:type="dxa"/>
            <w:tcBorders>
              <w:top w:val="single" w:sz="6" w:space="0" w:color="auto"/>
              <w:left w:val="single" w:sz="6" w:space="0" w:color="auto"/>
              <w:bottom w:val="single" w:sz="6" w:space="0" w:color="auto"/>
              <w:right w:val="single" w:sz="6" w:space="0" w:color="auto"/>
            </w:tcBorders>
            <w:hideMark/>
          </w:tcPr>
          <w:p w14:paraId="2E29DCF5" w14:textId="77777777" w:rsidR="009D1697" w:rsidRDefault="009D1697">
            <w:pPr>
              <w:pStyle w:val="TAL"/>
              <w:rPr>
                <w:lang w:val="en-AU"/>
              </w:rPr>
            </w:pPr>
            <w:r>
              <w:rPr>
                <w:lang w:val="en-AU"/>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170E6F0F" w14:textId="77777777" w:rsidR="009D1697" w:rsidRDefault="009D1697">
            <w:pPr>
              <w:pStyle w:val="TAL"/>
              <w:rPr>
                <w:lang w:val="en-AU"/>
              </w:rPr>
            </w:pPr>
            <w:r>
              <w:rPr>
                <w:lang w:val="en-AU"/>
              </w:rPr>
              <w:t>M</w:t>
            </w:r>
          </w:p>
        </w:tc>
        <w:tc>
          <w:tcPr>
            <w:tcW w:w="6237" w:type="dxa"/>
            <w:tcBorders>
              <w:top w:val="single" w:sz="6" w:space="0" w:color="auto"/>
              <w:left w:val="single" w:sz="6" w:space="0" w:color="auto"/>
              <w:bottom w:val="single" w:sz="6" w:space="0" w:color="auto"/>
              <w:right w:val="single" w:sz="12" w:space="0" w:color="auto"/>
            </w:tcBorders>
            <w:hideMark/>
          </w:tcPr>
          <w:p w14:paraId="1FC75F71" w14:textId="77777777" w:rsidR="009D1697" w:rsidRDefault="009D1697">
            <w:pPr>
              <w:pStyle w:val="TAL"/>
            </w:pPr>
            <w:r>
              <w:t>Public User Identity to be registered</w:t>
            </w:r>
          </w:p>
        </w:tc>
      </w:tr>
      <w:tr w:rsidR="009D1697" w14:paraId="7266217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16544BA" w14:textId="77777777" w:rsidR="009D1697" w:rsidRDefault="009D1697">
            <w:pPr>
              <w:pStyle w:val="TAL"/>
            </w:pPr>
            <w:r>
              <w:t>Visited Network Identifier</w:t>
            </w:r>
          </w:p>
          <w:p w14:paraId="050A6E3D" w14:textId="77777777" w:rsidR="009D1697" w:rsidRDefault="009D1697">
            <w:pPr>
              <w:pStyle w:val="TAL"/>
              <w:rPr>
                <w:lang w:val="en-US"/>
              </w:rPr>
            </w:pPr>
            <w:r>
              <w:t>(See 7.1)</w:t>
            </w:r>
          </w:p>
        </w:tc>
        <w:tc>
          <w:tcPr>
            <w:tcW w:w="1416" w:type="dxa"/>
            <w:tcBorders>
              <w:top w:val="single" w:sz="6" w:space="0" w:color="auto"/>
              <w:left w:val="single" w:sz="6" w:space="0" w:color="auto"/>
              <w:bottom w:val="single" w:sz="6" w:space="0" w:color="auto"/>
              <w:right w:val="single" w:sz="6" w:space="0" w:color="auto"/>
            </w:tcBorders>
            <w:hideMark/>
          </w:tcPr>
          <w:p w14:paraId="7C33C564" w14:textId="77777777" w:rsidR="009D1697" w:rsidRDefault="009D1697">
            <w:pPr>
              <w:pStyle w:val="TAL"/>
              <w:rPr>
                <w:lang w:val="en-US"/>
              </w:rPr>
            </w:pPr>
            <w:r>
              <w:rPr>
                <w:lang w:val="en-US"/>
              </w:rPr>
              <w:t>Visited-Network-Identifier</w:t>
            </w:r>
          </w:p>
        </w:tc>
        <w:tc>
          <w:tcPr>
            <w:tcW w:w="603" w:type="dxa"/>
            <w:tcBorders>
              <w:top w:val="single" w:sz="6" w:space="0" w:color="auto"/>
              <w:left w:val="single" w:sz="6" w:space="0" w:color="auto"/>
              <w:bottom w:val="single" w:sz="6" w:space="0" w:color="auto"/>
              <w:right w:val="single" w:sz="6" w:space="0" w:color="auto"/>
            </w:tcBorders>
            <w:hideMark/>
          </w:tcPr>
          <w:p w14:paraId="6928861C"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52ADD8E1" w14:textId="77777777" w:rsidR="009D1697" w:rsidRDefault="009D1697">
            <w:pPr>
              <w:pStyle w:val="TAL"/>
            </w:pPr>
            <w:r>
              <w:t>Identifier that allows the home network to identify the visited network</w:t>
            </w:r>
          </w:p>
        </w:tc>
      </w:tr>
      <w:tr w:rsidR="009D1697" w14:paraId="25F05A8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1F3B2F" w14:textId="77777777" w:rsidR="009D1697" w:rsidRDefault="009D1697">
            <w:pPr>
              <w:pStyle w:val="TAL"/>
            </w:pPr>
            <w:r>
              <w:t>Type of Authorization</w:t>
            </w:r>
          </w:p>
          <w:p w14:paraId="702E4945" w14:textId="77777777" w:rsidR="009D1697" w:rsidRDefault="009D1697">
            <w:pPr>
              <w:pStyle w:val="TAL"/>
            </w:pPr>
            <w:r>
              <w:t>(See 7.14)</w:t>
            </w:r>
          </w:p>
        </w:tc>
        <w:tc>
          <w:tcPr>
            <w:tcW w:w="1416" w:type="dxa"/>
            <w:tcBorders>
              <w:top w:val="single" w:sz="6" w:space="0" w:color="auto"/>
              <w:left w:val="single" w:sz="6" w:space="0" w:color="auto"/>
              <w:bottom w:val="single" w:sz="6" w:space="0" w:color="auto"/>
              <w:right w:val="single" w:sz="6" w:space="0" w:color="auto"/>
            </w:tcBorders>
            <w:hideMark/>
          </w:tcPr>
          <w:p w14:paraId="3ABDDC0B" w14:textId="77777777" w:rsidR="009D1697" w:rsidRDefault="009D1697">
            <w:pPr>
              <w:pStyle w:val="TAL"/>
              <w:rPr>
                <w:lang w:val="en-US"/>
              </w:rPr>
            </w:pPr>
            <w:r>
              <w:rPr>
                <w:lang w:val="en-US"/>
              </w:rPr>
              <w:t>User-Authorization-Type</w:t>
            </w:r>
          </w:p>
        </w:tc>
        <w:tc>
          <w:tcPr>
            <w:tcW w:w="603" w:type="dxa"/>
            <w:tcBorders>
              <w:top w:val="single" w:sz="6" w:space="0" w:color="auto"/>
              <w:left w:val="single" w:sz="6" w:space="0" w:color="auto"/>
              <w:bottom w:val="single" w:sz="6" w:space="0" w:color="auto"/>
              <w:right w:val="single" w:sz="6" w:space="0" w:color="auto"/>
            </w:tcBorders>
            <w:hideMark/>
          </w:tcPr>
          <w:p w14:paraId="20AF752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062D3262" w14:textId="77777777" w:rsidR="009D1697" w:rsidRDefault="009D1697">
            <w:pPr>
              <w:pStyle w:val="TAL"/>
            </w:pPr>
            <w:r>
              <w:t>Type of authorization requested by the I-CSCF.</w:t>
            </w:r>
          </w:p>
          <w:p w14:paraId="0EF28058" w14:textId="77777777" w:rsidR="009D1697" w:rsidRDefault="009D1697">
            <w:pPr>
              <w:pStyle w:val="TAL"/>
            </w:pPr>
            <w:r>
              <w:t>If the request corresponds to a de-registration, i.e. Expires field or expires parameter in Contact field in the REGISTER method is equal to zero, this AVP shall be present in the command and the value shall be set to DE-REGISTRATION.</w:t>
            </w:r>
          </w:p>
          <w:p w14:paraId="08325FED" w14:textId="77777777" w:rsidR="009D1697" w:rsidRDefault="009D1697">
            <w:pPr>
              <w:pStyle w:val="TAL"/>
            </w:pPr>
            <w:r>
              <w:t>If the request corresponds to an initial registration or a re-registration, i.e. Expires field or expires parameter in Contact field in the REGISTER method is not equal to zero then this AVP may be absent from the command. If present its value shall be set to REGISTRATION.</w:t>
            </w:r>
          </w:p>
          <w:p w14:paraId="0F96C42B" w14:textId="77777777" w:rsidR="009D1697" w:rsidRDefault="009D1697">
            <w:pPr>
              <w:pStyle w:val="TAL"/>
            </w:pPr>
            <w:r>
              <w:t xml:space="preserve">If the request corresponds to an initial registration or a re-registration </w:t>
            </w:r>
            <w:r>
              <w:rPr>
                <w:lang w:eastAsia="zh-CN"/>
              </w:rPr>
              <w:t xml:space="preserve">or a de-registration </w:t>
            </w:r>
            <w:r>
              <w:t xml:space="preserve">and the I-CSCF explicitly queries the S-CSCF capabilities, then this AVP shall be present in the command and the value shall be set to REGISTRATION_AND_CAPABILITIES. The I-CSCF shall use this value when the S-CSCF currently assigned to the Public User Identity in the HSS, cannot be contacted and a new S-CSCF needs to be selected. The I-CSCF shall also use this value for RLOS related registrations when the S-CSCF currently assigned to the Public User Identity in the HSS does not support RLOS (see 3GPP TS 23.228 [1] annex Z) and a new S-CSCF (supporting RLOS) needs to be selected. </w:t>
            </w:r>
            <w:r>
              <w:br/>
            </w:r>
            <w:r>
              <w:rPr>
                <w:lang w:val="en-US"/>
              </w:rPr>
              <w:t>RLOS support of the different S-CSCFs shall be locally configured in the I-CSCF, and this capability is independent on the subscribed capabilities received from HSS.</w:t>
            </w:r>
          </w:p>
        </w:tc>
      </w:tr>
      <w:tr w:rsidR="009D1697" w14:paraId="01374EA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0CD834D" w14:textId="77777777" w:rsidR="009D1697" w:rsidRDefault="009D1697">
            <w:pPr>
              <w:pStyle w:val="TAL"/>
            </w:pPr>
            <w:r>
              <w:t>Private User Identity</w:t>
            </w:r>
          </w:p>
          <w:p w14:paraId="3732D26D" w14:textId="77777777" w:rsidR="009D1697" w:rsidRDefault="009D1697">
            <w:pPr>
              <w:pStyle w:val="TAL"/>
            </w:pPr>
            <w:r>
              <w:t>(See 7.3)</w:t>
            </w:r>
          </w:p>
        </w:tc>
        <w:tc>
          <w:tcPr>
            <w:tcW w:w="1416" w:type="dxa"/>
            <w:tcBorders>
              <w:top w:val="single" w:sz="6" w:space="0" w:color="auto"/>
              <w:left w:val="single" w:sz="6" w:space="0" w:color="auto"/>
              <w:bottom w:val="single" w:sz="6" w:space="0" w:color="auto"/>
              <w:right w:val="single" w:sz="6" w:space="0" w:color="auto"/>
            </w:tcBorders>
            <w:hideMark/>
          </w:tcPr>
          <w:p w14:paraId="33BF74F1"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52F6171E"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45E1C45F" w14:textId="77777777" w:rsidR="009D1697" w:rsidRDefault="009D1697">
            <w:pPr>
              <w:pStyle w:val="TAL"/>
            </w:pPr>
            <w:r>
              <w:t>Private User Identity</w:t>
            </w:r>
          </w:p>
        </w:tc>
      </w:tr>
      <w:tr w:rsidR="009D1697" w14:paraId="022C114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1D008FF" w14:textId="77777777" w:rsidR="009D1697" w:rsidRDefault="009D1697">
            <w:pPr>
              <w:pStyle w:val="TAL"/>
            </w:pPr>
            <w:r>
              <w:t>Routing Information (See 7.13)</w:t>
            </w:r>
          </w:p>
        </w:tc>
        <w:tc>
          <w:tcPr>
            <w:tcW w:w="1416" w:type="dxa"/>
            <w:tcBorders>
              <w:top w:val="single" w:sz="6" w:space="0" w:color="auto"/>
              <w:left w:val="single" w:sz="6" w:space="0" w:color="auto"/>
              <w:bottom w:val="single" w:sz="6" w:space="0" w:color="auto"/>
              <w:right w:val="single" w:sz="6" w:space="0" w:color="auto"/>
            </w:tcBorders>
            <w:hideMark/>
          </w:tcPr>
          <w:p w14:paraId="64F5F34E" w14:textId="77777777" w:rsidR="009D1697" w:rsidRDefault="009D1697">
            <w:pPr>
              <w:pStyle w:val="TAL"/>
              <w:rPr>
                <w:lang w:val="fr-FR"/>
              </w:rPr>
            </w:pPr>
            <w:r>
              <w:rPr>
                <w:lang w:val="fr-FR"/>
              </w:rPr>
              <w:t>Destination-Host, Destination-Realm</w:t>
            </w:r>
          </w:p>
        </w:tc>
        <w:tc>
          <w:tcPr>
            <w:tcW w:w="603" w:type="dxa"/>
            <w:tcBorders>
              <w:top w:val="single" w:sz="6" w:space="0" w:color="auto"/>
              <w:left w:val="single" w:sz="6" w:space="0" w:color="auto"/>
              <w:bottom w:val="single" w:sz="6" w:space="0" w:color="auto"/>
              <w:right w:val="single" w:sz="6" w:space="0" w:color="auto"/>
            </w:tcBorders>
            <w:hideMark/>
          </w:tcPr>
          <w:p w14:paraId="4A83E66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4129F86C" w14:textId="77777777" w:rsidR="009D1697" w:rsidRDefault="009D1697">
            <w:pPr>
              <w:pStyle w:val="TAL"/>
            </w:pPr>
            <w:r>
              <w:t>If the I-CSCF knows HSS name Destination-Host AVP shall be present in the command. Otherwise, only Destination-Realm AVP shall be present and the command shall be routed to the next Diameter node, e.g. SLF, based on the Diameter routing table in the I-CSCF.</w:t>
            </w:r>
          </w:p>
        </w:tc>
      </w:tr>
      <w:tr w:rsidR="009D1697" w14:paraId="1596D0F7"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6F9F22DC" w14:textId="77777777" w:rsidR="009D1697" w:rsidRDefault="009D1697">
            <w:pPr>
              <w:pStyle w:val="TAL"/>
            </w:pPr>
            <w:r>
              <w:t>UAR Flags</w:t>
            </w:r>
          </w:p>
          <w:p w14:paraId="470944DD" w14:textId="77777777" w:rsidR="009D1697" w:rsidRDefault="009D1697">
            <w:pPr>
              <w:pStyle w:val="TAL"/>
            </w:pPr>
            <w:r>
              <w:t>(See 7.19)</w:t>
            </w:r>
          </w:p>
        </w:tc>
        <w:tc>
          <w:tcPr>
            <w:tcW w:w="1416" w:type="dxa"/>
            <w:tcBorders>
              <w:top w:val="single" w:sz="6" w:space="0" w:color="auto"/>
              <w:left w:val="single" w:sz="6" w:space="0" w:color="auto"/>
              <w:bottom w:val="single" w:sz="12" w:space="0" w:color="auto"/>
              <w:right w:val="single" w:sz="6" w:space="0" w:color="auto"/>
            </w:tcBorders>
            <w:hideMark/>
          </w:tcPr>
          <w:p w14:paraId="49A3B544" w14:textId="77777777" w:rsidR="009D1697" w:rsidRDefault="009D1697">
            <w:pPr>
              <w:pStyle w:val="TAL"/>
              <w:rPr>
                <w:lang w:val="fr-FR"/>
              </w:rPr>
            </w:pPr>
            <w:r>
              <w:rPr>
                <w:lang w:val="fr-FR"/>
              </w:rPr>
              <w:t>UAR-Flags</w:t>
            </w:r>
          </w:p>
        </w:tc>
        <w:tc>
          <w:tcPr>
            <w:tcW w:w="603" w:type="dxa"/>
            <w:tcBorders>
              <w:top w:val="single" w:sz="6" w:space="0" w:color="auto"/>
              <w:left w:val="single" w:sz="6" w:space="0" w:color="auto"/>
              <w:bottom w:val="single" w:sz="12" w:space="0" w:color="auto"/>
              <w:right w:val="single" w:sz="6" w:space="0" w:color="auto"/>
            </w:tcBorders>
            <w:hideMark/>
          </w:tcPr>
          <w:p w14:paraId="286DC985" w14:textId="77777777" w:rsidR="009D1697" w:rsidRDefault="009D1697">
            <w:pPr>
              <w:pStyle w:val="TAL"/>
            </w:pPr>
            <w:r>
              <w:t>O</w:t>
            </w:r>
          </w:p>
        </w:tc>
        <w:tc>
          <w:tcPr>
            <w:tcW w:w="6237" w:type="dxa"/>
            <w:tcBorders>
              <w:top w:val="single" w:sz="6" w:space="0" w:color="auto"/>
              <w:left w:val="single" w:sz="6" w:space="0" w:color="auto"/>
              <w:bottom w:val="single" w:sz="12" w:space="0" w:color="auto"/>
              <w:right w:val="single" w:sz="12" w:space="0" w:color="auto"/>
            </w:tcBorders>
            <w:hideMark/>
          </w:tcPr>
          <w:p w14:paraId="16D8C8AA" w14:textId="77777777" w:rsidR="009D1697" w:rsidRDefault="009D1697">
            <w:pPr>
              <w:pStyle w:val="TAL"/>
            </w:pPr>
            <w:r>
              <w:t>This Information Element contains a set of indications. See 7.19 for the content of the information element.</w:t>
            </w:r>
          </w:p>
        </w:tc>
      </w:tr>
    </w:tbl>
    <w:p>
      <w:r/>
    </w:p>
    <w:p>
      <w:r>
        <w:t>Table 6.1.1.</w:t>
      </w:r>
      <w:r>
        <w:t>2</w:t>
      </w:r>
      <w:r>
        <w:t>: User registration status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0B2C827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2C6A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BF394A6"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9A8809"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561920C" w14:textId="77777777" w:rsidR="009D1697" w:rsidRDefault="009D1697">
            <w:pPr>
              <w:pStyle w:val="TAH"/>
            </w:pPr>
            <w:r>
              <w:t>Description</w:t>
            </w:r>
          </w:p>
        </w:tc>
      </w:tr>
      <w:tr w:rsidR="009D1697" w14:paraId="0B300B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596F517" w14:textId="77777777" w:rsidR="009D1697" w:rsidRDefault="009D1697">
            <w:pPr>
              <w:pStyle w:val="TAL"/>
              <w:rPr>
                <w:lang w:val="en-US"/>
              </w:rPr>
            </w:pPr>
            <w:r>
              <w:rPr>
                <w:lang w:val="en-US"/>
              </w:rPr>
              <w:t>Result</w:t>
            </w:r>
          </w:p>
          <w:p w14:paraId="4B453A9D"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9E668E9"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57537E3F"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1F1B4B" w14:textId="77777777" w:rsidR="009D1697" w:rsidRDefault="009D1697">
            <w:pPr>
              <w:pStyle w:val="TAL"/>
            </w:pPr>
            <w:r>
              <w:t>Result of the operation.</w:t>
            </w:r>
          </w:p>
          <w:p w14:paraId="7966CF01" w14:textId="77777777" w:rsidR="009D1697" w:rsidRDefault="009D1697">
            <w:pPr>
              <w:pStyle w:val="TAL"/>
            </w:pPr>
            <w:r>
              <w:t>Result-Code AVP shall be used for errors defined in the Diameter base protocol (see IETF RFC 6733 [31]).</w:t>
            </w:r>
          </w:p>
          <w:p w14:paraId="7820537E"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05551B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482B65" w14:textId="77777777" w:rsidR="009D1697" w:rsidRDefault="009D1697">
            <w:pPr>
              <w:pStyle w:val="TAL"/>
              <w:rPr>
                <w:lang w:val="en-US"/>
              </w:rPr>
            </w:pPr>
            <w:r>
              <w:rPr>
                <w:lang w:val="en-US"/>
              </w:rPr>
              <w:t>S-CSCF capabilities</w:t>
            </w:r>
          </w:p>
          <w:p w14:paraId="64B596A8" w14:textId="77777777" w:rsidR="009D1697" w:rsidRDefault="009D1697">
            <w:pPr>
              <w:pStyle w:val="TAL"/>
            </w:pPr>
            <w:r>
              <w:rPr>
                <w:lang w:val="en-US"/>
              </w:rPr>
              <w:t xml:space="preserve">(See </w:t>
            </w:r>
            <w:r>
              <w:t>7.5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561AA7C" w14:textId="77777777" w:rsidR="009D1697" w:rsidRDefault="009D1697">
            <w:pPr>
              <w:pStyle w:val="TAL"/>
              <w:rPr>
                <w:lang w:val="en-US"/>
              </w:rPr>
            </w:pPr>
            <w:r>
              <w:rPr>
                <w:lang w:val="en-US"/>
              </w:rPr>
              <w:t>Server-Capabilities</w:t>
            </w:r>
          </w:p>
        </w:tc>
        <w:tc>
          <w:tcPr>
            <w:tcW w:w="601" w:type="dxa"/>
            <w:tcBorders>
              <w:top w:val="single" w:sz="6" w:space="0" w:color="auto"/>
              <w:left w:val="single" w:sz="6" w:space="0" w:color="auto"/>
              <w:bottom w:val="single" w:sz="6" w:space="0" w:color="auto"/>
              <w:right w:val="single" w:sz="6" w:space="0" w:color="auto"/>
            </w:tcBorders>
            <w:hideMark/>
          </w:tcPr>
          <w:p w14:paraId="2ED62FC3" w14:textId="77777777" w:rsidR="009D1697" w:rsidRDefault="009D1697">
            <w:pPr>
              <w:pStyle w:val="TAL"/>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9F32813" w14:textId="77777777" w:rsidR="009D1697" w:rsidRDefault="009D1697">
            <w:pPr>
              <w:pStyle w:val="TAL"/>
            </w:pPr>
            <w:r>
              <w:t>Required capabilities of the S-CSCF to be assigned to the IMS Subscription.</w:t>
            </w:r>
            <w:r>
              <w:rPr>
                <w:lang w:val="en-US"/>
              </w:rPr>
              <w:t xml:space="preserve"> </w:t>
            </w:r>
          </w:p>
        </w:tc>
      </w:tr>
      <w:tr w:rsidR="009D1697" w14:paraId="18BEFE1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42DD4FE" w14:textId="77777777" w:rsidR="009D1697" w:rsidRDefault="009D1697">
            <w:pPr>
              <w:pStyle w:val="TAL"/>
            </w:pPr>
            <w:r>
              <w:t>S-CSCF Name</w:t>
            </w:r>
          </w:p>
          <w:p w14:paraId="7D50EE7C" w14:textId="77777777" w:rsidR="009D1697" w:rsidRDefault="009D1697">
            <w:pPr>
              <w:pStyle w:val="TAL"/>
            </w:pPr>
            <w:r>
              <w:t>(See 7.4)</w:t>
            </w:r>
          </w:p>
        </w:tc>
        <w:tc>
          <w:tcPr>
            <w:tcW w:w="1418" w:type="dxa"/>
            <w:tcBorders>
              <w:top w:val="single" w:sz="6" w:space="0" w:color="auto"/>
              <w:left w:val="single" w:sz="6" w:space="0" w:color="auto"/>
              <w:bottom w:val="single" w:sz="12" w:space="0" w:color="auto"/>
              <w:right w:val="single" w:sz="6" w:space="0" w:color="auto"/>
            </w:tcBorders>
            <w:hideMark/>
          </w:tcPr>
          <w:p w14:paraId="24D9FF90"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12" w:space="0" w:color="auto"/>
              <w:right w:val="single" w:sz="6" w:space="0" w:color="auto"/>
            </w:tcBorders>
            <w:hideMark/>
          </w:tcPr>
          <w:p w14:paraId="5A2DFC2C" w14:textId="77777777" w:rsidR="009D1697" w:rsidRDefault="009D1697">
            <w:pPr>
              <w:pStyle w:val="TAL"/>
            </w:pPr>
            <w:r>
              <w:t>C</w:t>
            </w:r>
          </w:p>
        </w:tc>
        <w:tc>
          <w:tcPr>
            <w:tcW w:w="6237" w:type="dxa"/>
            <w:tcBorders>
              <w:top w:val="single" w:sz="6" w:space="0" w:color="auto"/>
              <w:left w:val="single" w:sz="6" w:space="0" w:color="auto"/>
              <w:bottom w:val="single" w:sz="12" w:space="0" w:color="auto"/>
              <w:right w:val="single" w:sz="12" w:space="0" w:color="auto"/>
            </w:tcBorders>
            <w:hideMark/>
          </w:tcPr>
          <w:p w14:paraId="312FFB0D" w14:textId="77777777" w:rsidR="009D1697" w:rsidRDefault="009D1697">
            <w:pPr>
              <w:pStyle w:val="TAL"/>
            </w:pPr>
            <w:r>
              <w:t>Name of the assigned S</w:t>
            </w:r>
            <w:r>
              <w:noBreakHyphen/>
              <w:t>CSCF.</w:t>
            </w:r>
          </w:p>
        </w:tc>
      </w:tr>
    </w:tbl>
    <w:p>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
      <w:r>
        <w:rPr>
          <w:b/>
          <w:sz w:val="28"/>
        </w:rPr>
        <w:t>AVP Path Definitions (TS 29.229)</w:t>
      </w:r>
    </w:p>
    <w:p/>
    <w:p>
      <w:r>
        <w:rPr>
          <w:b/>
          <w:color w:val="000080"/>
          <w:sz w:val="24"/>
        </w:rPr>
        <w:t>[0] User-Authorization-Type</w:t>
      </w:r>
    </w:p>
    <w:p/>
    <w:p>
      <w:pPr>
        <w:pStyle w:val="Heading3"/>
      </w:pPr>
      <w:r>
        <w:t>6.3.24</w:t>
      </w:r>
      <w:r>
        <w:tab/>
        <w:t>User-Authorization-Type AVP</w:t>
      </w:r>
    </w:p>
    <w:p>
      <w:r>
        <w:t xml:space="preserve">The User-Authorization-Type AVP is of type Enumerated, and indicates the type of user authorization being performed in a User Authorization operation, </w:t>
      </w:r>
      <w:r>
        <w:t>i.e.</w:t>
      </w:r>
      <w:r>
        <w:t xml:space="preserve"> UAR command. The following values are defined:</w:t>
      </w:r>
    </w:p>
    <w:p>
      <w:r>
        <w:t>REGISTRATION (0)</w:t>
      </w:r>
    </w:p>
    <w:p>
      <w:r>
        <w:tab/>
        <w:t>This value is used in case of the initial registration or re-registration. I-CSCF determines this from the Expires field or expires parameter in Contact field in the SIP REGISTER method if it is not equal to zero.</w:t>
      </w:r>
    </w:p>
    <w:p>
      <w:r>
        <w:tab/>
        <w:t>This is the default value.</w:t>
      </w:r>
    </w:p>
    <w:p>
      <w:r>
        <w:t>DE_REGISTRATION (1)</w:t>
      </w:r>
    </w:p>
    <w:p>
      <w:r>
        <w:tab/>
        <w:t>This value is used in case of the de-registration. I-CSCF determines this from the Expires field or expires parameter in Contact field in the SIP REGISTER method if it is equal to zero.</w:t>
      </w:r>
    </w:p>
    <w:p>
      <w:r>
        <w:t>REGISTRATION_AND_CAPABILITIES (2)</w:t>
      </w:r>
    </w:p>
    <w:p>
      <w:r>
        <w:tab/>
        <w:t>This value is used when the I-CSCF explicitly requests S-CSCF capability information from the HSS. The I-CSCF shall use this value when the user's current S-CSCF, which is stored in the HSS, cannot be contacted and a new S-CSCF needs to be selected</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