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Delete Subscriber Data Request (DSR)</w:t>
        <w:br/>
      </w:r>
      <w:r>
        <w:rPr>
          <w:b/>
        </w:rPr>
        <w:t xml:space="preserve">Extraction Date: </w:t>
      </w:r>
      <w:r>
        <w:t>2026-03-10 13:36:04</w:t>
      </w:r>
    </w:p>
    <w:p/>
    <w:p>
      <w:r>
        <w:rPr>
          <w:b/>
          <w:sz w:val="24"/>
        </w:rPr>
        <w:t>AVP Path:</w:t>
      </w:r>
    </w:p>
    <w:p/>
    <w:p>
      <w:r>
        <w:t>[Level 0]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w:t>
      </w:r>
      <w:r>
        <w:t>11</w:t>
      </w:r>
      <w:r>
        <w:tab/>
      </w:r>
      <w:r>
        <w:t>Delete</w:t>
      </w:r>
      <w:r>
        <w:t>-Subscriber-Data</w:t>
      </w:r>
      <w:r>
        <w:t>-Request (</w:t>
      </w:r>
      <w:r>
        <w:t>DS</w:t>
      </w:r>
      <w:r>
        <w:t>R) Command</w:t>
      </w:r>
    </w:p>
    <w:p>
      <w:r>
        <w:t xml:space="preserve">The </w:t>
      </w:r>
      <w:r>
        <w:t>Delete-Subscriber</w:t>
      </w:r>
      <w:r>
        <w:t xml:space="preserve"> </w:t>
      </w:r>
      <w:r>
        <w:t>Data-Request</w:t>
      </w:r>
      <w:r>
        <w:t xml:space="preserve"> (</w:t>
      </w:r>
      <w:r>
        <w:t>DS</w:t>
      </w:r>
      <w:r>
        <w:t xml:space="preserve">R) command, indicated by the Command-Code field set to 320 and the 'R' bit set in the Command Flags field, is sent from </w:t>
      </w:r>
      <w:r>
        <w:t>HSS</w:t>
      </w:r>
      <w:r>
        <w:t xml:space="preserve"> or CSS to </w:t>
      </w:r>
      <w:r>
        <w:t>MME</w:t>
      </w:r>
      <w:r>
        <w:t xml:space="preserve"> or SGSN.</w:t>
      </w:r>
    </w:p>
    <w:p>
      <w:r>
        <w:t>Message Format when used over the S6a/S6d application:</w:t>
      </w:r>
    </w:p>
    <w:p>
      <w:r>
        <w:t xml:space="preserve">&lt; </w:t>
      </w:r>
      <w:r>
        <w:t xml:space="preserve">Delete-Subscriber-Data-Request </w:t>
      </w:r>
      <w:r>
        <w:t>&gt; ::=</w:t>
      </w:r>
      <w:r>
        <w:tab/>
        <w:t>&lt; Diameter Header: 320, REQ, PXY, 16777251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eDRX-Related-RAT ]</w:t>
      </w:r>
    </w:p>
    <w:p>
      <w:r>
        <w:t>*[ External-Identifier ]</w:t>
      </w:r>
    </w:p>
    <w:p>
      <w:r>
        <w:t>*[ AVP ]</w:t>
      </w:r>
    </w:p>
    <w:p>
      <w:r>
        <w:t>*[ Proxy-Info ]</w:t>
      </w:r>
    </w:p>
    <w:p>
      <w:r>
        <w:t>*[ Route-Record ]</w:t>
      </w:r>
    </w:p>
    <w:p>
      <w:r/>
    </w:p>
    <w:p>
      <w:r>
        <w:t>The SCEF-ID shall be present when the flag "</w:t>
      </w:r>
      <w:r>
        <w:t>Delete monitoring events</w:t>
      </w:r>
      <w:r>
        <w:t>" in DSR-Flags AVP is set.</w:t>
      </w:r>
    </w:p>
    <w:p>
      <w:r>
        <w:t>Message Format when used over the S7a/S7d application:</w:t>
      </w:r>
    </w:p>
    <w:p>
      <w:r>
        <w:t xml:space="preserve">&lt; </w:t>
      </w:r>
      <w:r>
        <w:t xml:space="preserve">Delete-Subscriber-Data-Request </w:t>
      </w:r>
      <w:r>
        <w:t>&gt; ::=</w:t>
      </w:r>
      <w:r>
        <w:tab/>
        <w:t>&lt; Diameter Header: 320, REQ, PXY, 16777308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AVP ]</w:t>
      </w:r>
    </w:p>
    <w:p>
      <w:r>
        <w:t>*[ Proxy-Info ]</w:t>
      </w:r>
    </w:p>
    <w:p>
      <w:r>
        <w:t>*[ Route-Record ]</w:t>
      </w:r>
    </w:p>
    <w:p>
      <w:r/>
    </w:p>
    <w:p/>
    <w:p>
      <w:r>
        <w:rPr>
          <w:b/>
          <w:sz w:val="28"/>
        </w:rPr>
        <w:t>Message Procedure/Behavior</w:t>
      </w:r>
    </w:p>
    <w:p/>
    <w:p>
      <w:pPr>
        <w:pStyle w:val="Heading4"/>
      </w:pPr>
      <w:r>
        <w:t>5</w:t>
      </w:r>
      <w:r>
        <w:t>.2.2</w:t>
      </w:r>
      <w:r>
        <w:t>.2</w:t>
      </w:r>
      <w:r>
        <w:tab/>
        <w:t>Delete Subscriber Data</w:t>
      </w:r>
    </w:p>
    <w:p>
      <w:pPr>
        <w:pStyle w:val="Heading3"/>
      </w:pPr>
      <w:r>
        <w:t>5</w:t>
      </w:r>
      <w:r>
        <w:t>.2.2</w:t>
      </w:r>
      <w:r>
        <w:t>.2.1</w:t>
      </w:r>
      <w:r>
        <w:tab/>
      </w:r>
      <w:r>
        <w:t>General</w:t>
      </w:r>
    </w:p>
    <w:p>
      <w:r>
        <w:t>Th</w:t>
      </w:r>
      <w:r>
        <w:t>is p</w:t>
      </w:r>
      <w:r>
        <w:t xml:space="preserve">rocedure </w:t>
      </w:r>
      <w:r>
        <w:t>shall be</w:t>
      </w:r>
      <w:r>
        <w:t xml:space="preserve"> </w:t>
      </w:r>
      <w:r>
        <w:t xml:space="preserve">used between </w:t>
      </w:r>
      <w:r>
        <w:t xml:space="preserve">the </w:t>
      </w:r>
      <w:r>
        <w:t xml:space="preserve">MME and </w:t>
      </w:r>
      <w:r>
        <w:t xml:space="preserve">the </w:t>
      </w:r>
      <w:r>
        <w:t xml:space="preserve">HSS and between </w:t>
      </w:r>
      <w:r>
        <w:t xml:space="preserve">the </w:t>
      </w:r>
      <w:r>
        <w:t xml:space="preserve">SGSN and </w:t>
      </w:r>
      <w:r>
        <w:t xml:space="preserve">the </w:t>
      </w:r>
      <w:r>
        <w:t>HSS</w:t>
      </w:r>
      <w:r>
        <w:t>,</w:t>
      </w:r>
      <w:r>
        <w:t xml:space="preserve"> to </w:t>
      </w:r>
      <w:r>
        <w:t>remove</w:t>
      </w:r>
      <w:r>
        <w:t xml:space="preserve"> </w:t>
      </w:r>
      <w:r>
        <w:t xml:space="preserve">some data of the </w:t>
      </w:r>
      <w:r>
        <w:t>HSS</w:t>
      </w:r>
      <w:r>
        <w:t xml:space="preserve"> </w:t>
      </w:r>
      <w:r>
        <w:t>user profile</w:t>
      </w:r>
      <w:r>
        <w:t xml:space="preserve"> </w:t>
      </w:r>
      <w:r>
        <w:t xml:space="preserve">stored </w:t>
      </w:r>
      <w:r>
        <w:t>in the MME</w:t>
      </w:r>
      <w:r>
        <w:t xml:space="preserve"> or SGSN. The procedure </w:t>
      </w:r>
      <w:r>
        <w:t xml:space="preserve">shall be </w:t>
      </w:r>
      <w:r>
        <w:t xml:space="preserve">invoked by the </w:t>
      </w:r>
      <w:r>
        <w:t xml:space="preserve">HSS and it corresponds to the functional level operation Delete Subscriber Data (see </w:t>
      </w:r>
      <w:r>
        <w:t>3GPP TS 2</w:t>
      </w:r>
      <w:r>
        <w:t>3.401</w:t>
      </w:r>
      <w:r>
        <w:t xml:space="preserve"> [</w:t>
      </w:r>
      <w:r>
        <w:t>2]).</w:t>
      </w:r>
    </w:p>
    <w:p>
      <w:r>
        <w:t>It shall be</w:t>
      </w:r>
      <w:r>
        <w:t xml:space="preserve"> used to remove</w:t>
      </w:r>
      <w:r>
        <w:t>:</w:t>
      </w:r>
    </w:p>
    <w:p>
      <w:r>
        <w:t>-</w:t>
      </w:r>
      <w:r>
        <w:tab/>
      </w:r>
      <w:r>
        <w:t xml:space="preserve">a subset </w:t>
      </w:r>
      <w:r>
        <w:t xml:space="preserve">(wich may or may not be the complete set of APN configurations) </w:t>
      </w:r>
      <w:r>
        <w:t xml:space="preserve">of </w:t>
      </w:r>
      <w:r>
        <w:t xml:space="preserve">the </w:t>
      </w:r>
      <w:r>
        <w:t xml:space="preserve">APN Configuration Profile </w:t>
      </w:r>
      <w:r>
        <w:t xml:space="preserve">for the subscriber from the </w:t>
      </w:r>
      <w:r>
        <w:t>SGSN or combined MME/SGSN;</w:t>
      </w:r>
    </w:p>
    <w:p>
      <w:r>
        <w:t>-</w:t>
      </w:r>
      <w:r>
        <w:tab/>
        <w:t>a proper subset (i.e. a subset that is not equal to the complete set of APN configurations and does not contain the default APN configuration) of the APN Configuration Profile for the subscriber from the MME;</w:t>
      </w:r>
    </w:p>
    <w:p>
      <w:r>
        <w:t>-</w:t>
      </w:r>
      <w:r>
        <w:tab/>
      </w:r>
      <w:r>
        <w:t xml:space="preserve">the </w:t>
      </w:r>
      <w:r>
        <w:t>regional subscription;</w:t>
      </w:r>
    </w:p>
    <w:p>
      <w:r>
        <w:t>-</w:t>
      </w:r>
      <w:r>
        <w:tab/>
      </w:r>
      <w:r>
        <w:t xml:space="preserve">the </w:t>
      </w:r>
      <w:r>
        <w:t>subscribed charging characteristics;</w:t>
      </w:r>
    </w:p>
    <w:p>
      <w:r>
        <w:t>-</w:t>
      </w:r>
      <w:r>
        <w:tab/>
        <w:t>Session Transfer Number for SRVCC;</w:t>
      </w:r>
    </w:p>
    <w:p>
      <w:r>
        <w:t>-</w:t>
      </w:r>
      <w:r>
        <w:tab/>
        <w:t>trac</w:t>
      </w:r>
      <w:r>
        <w:t>e data;</w:t>
      </w:r>
    </w:p>
    <w:p>
      <w:r>
        <w:t>-</w:t>
      </w:r>
      <w:r>
        <w:tab/>
      </w:r>
      <w:r>
        <w:t>ProSe subscription data</w:t>
      </w:r>
      <w:r>
        <w:t>;</w:t>
      </w:r>
    </w:p>
    <w:p>
      <w:r>
        <w:t>-</w:t>
      </w:r>
      <w:r>
        <w:tab/>
        <w:t>Reset-IDs;</w:t>
      </w:r>
    </w:p>
    <w:p>
      <w:r>
        <w:t>-</w:t>
      </w:r>
      <w:r>
        <w:tab/>
        <w:t>MSISDN;</w:t>
      </w:r>
    </w:p>
    <w:p>
      <w:r>
        <w:t>-</w:t>
      </w:r>
      <w:r>
        <w:tab/>
        <w:t>UE Usage Type;</w:t>
      </w:r>
    </w:p>
    <w:p>
      <w:r>
        <w:t>-</w:t>
      </w:r>
      <w:r>
        <w:tab/>
        <w:t>V2X subscription data.</w:t>
      </w:r>
    </w:p>
    <w:p>
      <w:r>
        <w:t>-</w:t>
      </w:r>
      <w:r>
        <w:tab/>
        <w:t>External Identifier(s)</w:t>
      </w:r>
      <w:r>
        <w:t>.</w:t>
      </w:r>
    </w:p>
    <w:p>
      <w:r>
        <w:t xml:space="preserve">If the HSS knows that the UE has attached to the </w:t>
      </w:r>
      <w:r>
        <w:t xml:space="preserve">MME and SGSN parts of the </w:t>
      </w:r>
      <w:r>
        <w:t>same combined MME/SGSN via both E-UTRAN and UTRAN/GERAN</w:t>
      </w:r>
      <w:r>
        <w:t xml:space="preserve">(refer to </w:t>
      </w:r>
      <w:r>
        <w:t>clause</w:t>
      </w:r>
      <w:r>
        <w:t xml:space="preserve"> </w:t>
      </w:r>
      <w:r>
        <w:t>5</w:t>
      </w:r>
      <w:r>
        <w:t>.2.1.1.2, 5.2.1.1.3 for further details)</w:t>
      </w:r>
      <w:r>
        <w:t>, the HSS should invoke this procedure for a single time to remove</w:t>
      </w:r>
      <w:r>
        <w:t xml:space="preserve"> </w:t>
      </w:r>
      <w:r>
        <w:t xml:space="preserve">some or all data of the </w:t>
      </w:r>
      <w:r>
        <w:t>HSS</w:t>
      </w:r>
      <w:r>
        <w:t xml:space="preserve"> </w:t>
      </w:r>
      <w:r>
        <w:t>user profile</w:t>
      </w:r>
      <w:r>
        <w:t xml:space="preserve"> </w:t>
      </w:r>
      <w:r>
        <w:t xml:space="preserve">stored </w:t>
      </w:r>
      <w:r>
        <w:t>in</w:t>
      </w:r>
      <w:r>
        <w:t xml:space="preserve"> </w:t>
      </w:r>
      <w:r>
        <w:t>the combined MME/SGSN, i.e. 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ULR-Flags</w:t>
      </w:r>
      <w:r>
        <w:t xml:space="preserve"> and if </w:t>
      </w:r>
      <w:r>
        <w:t xml:space="preserve">the MME </w:t>
      </w:r>
      <w:r>
        <w:t xml:space="preserve">has not </w:t>
      </w:r>
      <w:r>
        <w:t xml:space="preserve">been </w:t>
      </w:r>
      <w:r>
        <w:t>registered for SMS</w:t>
      </w:r>
      <w:r>
        <w:t xml:space="preserve"> during </w:t>
      </w:r>
      <w:r>
        <w:t>update</w:t>
      </w:r>
      <w:r>
        <w:t xml:space="preserve"> location procedure for the MME, the HSS may skip any removal of </w:t>
      </w:r>
      <w:r>
        <w:t xml:space="preserve">the SMS related subscription data </w:t>
      </w:r>
      <w:r>
        <w:t xml:space="preserve">and consequently does not </w:t>
      </w:r>
      <w:r>
        <w:t xml:space="preserve">have to </w:t>
      </w:r>
      <w:r>
        <w:t>make use of the Delete</w:t>
      </w:r>
      <w:r>
        <w:t xml:space="preserve"> Subscriber Data procedure </w:t>
      </w:r>
      <w:r>
        <w:t>to update the</w:t>
      </w:r>
      <w:r>
        <w:t xml:space="preserve"> SMS</w:t>
      </w:r>
      <w:r>
        <w:t xml:space="preserve"> subscription data in the</w:t>
      </w:r>
      <w:r>
        <w:t xml:space="preserve"> MME.</w:t>
      </w:r>
    </w:p>
    <w:p>
      <w:r>
        <w:t xml:space="preserve">This procedure is mapped to the commands </w:t>
      </w:r>
      <w:r>
        <w:t>Delete</w:t>
      </w:r>
      <w:r>
        <w:t>-</w:t>
      </w:r>
      <w:r>
        <w:t>Subscriber-Data</w:t>
      </w:r>
      <w:r>
        <w:t>-Request/Answer (</w:t>
      </w:r>
      <w:r>
        <w:t>DS</w:t>
      </w:r>
      <w:r>
        <w:t>R/</w:t>
      </w:r>
      <w:r>
        <w:t>DS</w:t>
      </w:r>
      <w:r>
        <w:t xml:space="preserve">A) in the Diameter application specified in </w:t>
      </w:r>
      <w:r>
        <w:t>clause</w:t>
      </w:r>
      <w:r>
        <w:t xml:space="preserve"> 7.</w:t>
      </w:r>
    </w:p>
    <w:p>
      <w:r>
        <w:t>Table 5.2.2.</w:t>
      </w:r>
      <w:r>
        <w:t>2</w:t>
      </w:r>
      <w:r>
        <w:t>.1/1 specifies the involved information elements for the request.</w:t>
      </w:r>
    </w:p>
    <w:p>
      <w:r>
        <w:t>Table 5.2.2.</w:t>
      </w:r>
      <w:r>
        <w:t>2</w:t>
      </w:r>
      <w:r>
        <w:t xml:space="preserve">.1/2 specifies the involved information elements for the </w:t>
      </w:r>
      <w:r>
        <w:t>answer</w:t>
      </w:r>
      <w:r>
        <w:t>.</w:t>
      </w:r>
    </w:p>
    <w:p>
      <w:r>
        <w:t>Table 5.</w:t>
      </w:r>
      <w:r>
        <w:t>2</w:t>
      </w:r>
      <w:r>
        <w:t>.</w:t>
      </w:r>
      <w:r>
        <w:t>2</w:t>
      </w:r>
      <w:r>
        <w:t>.</w:t>
      </w:r>
      <w:r>
        <w:t>2</w:t>
      </w:r>
      <w:r>
        <w:t>.1</w:t>
      </w:r>
      <w:r>
        <w:t>/</w:t>
      </w:r>
      <w:r>
        <w:t xml:space="preserve">1: </w:t>
      </w:r>
      <w:r>
        <w:t>Delete Subscriber Data Request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5F8C7C8" w14:textId="77777777" w:rsidTr="002B6321">
        <w:trPr>
          <w:jc w:val="center"/>
        </w:trPr>
        <w:tc>
          <w:tcPr>
            <w:tcW w:w="1418" w:type="dxa"/>
          </w:tcPr>
          <w:p w14:paraId="3C062F9C" w14:textId="77777777" w:rsidR="009D4C7F" w:rsidRPr="00C139B4" w:rsidRDefault="009D4C7F" w:rsidP="002B6321">
            <w:pPr>
              <w:pStyle w:val="TAH"/>
            </w:pPr>
            <w:r w:rsidRPr="00C139B4">
              <w:t>Information element name</w:t>
            </w:r>
          </w:p>
        </w:tc>
        <w:tc>
          <w:tcPr>
            <w:tcW w:w="1416" w:type="dxa"/>
          </w:tcPr>
          <w:p w14:paraId="545D53A7" w14:textId="77777777" w:rsidR="009D4C7F" w:rsidRPr="00C139B4" w:rsidRDefault="009D4C7F" w:rsidP="002B6321">
            <w:pPr>
              <w:pStyle w:val="TAH"/>
            </w:pPr>
            <w:r w:rsidRPr="00C139B4">
              <w:t>Mapping to Diameter AVP</w:t>
            </w:r>
          </w:p>
        </w:tc>
        <w:tc>
          <w:tcPr>
            <w:tcW w:w="603" w:type="dxa"/>
          </w:tcPr>
          <w:p w14:paraId="1B5F21A9" w14:textId="77777777" w:rsidR="009D4C7F" w:rsidRPr="00C139B4" w:rsidRDefault="009D4C7F" w:rsidP="002B6321">
            <w:pPr>
              <w:pStyle w:val="TAH"/>
              <w:rPr>
                <w:lang w:val="fr-FR"/>
              </w:rPr>
            </w:pPr>
            <w:r w:rsidRPr="00C139B4">
              <w:rPr>
                <w:lang w:val="fr-FR"/>
              </w:rPr>
              <w:t>Cat.</w:t>
            </w:r>
          </w:p>
        </w:tc>
        <w:tc>
          <w:tcPr>
            <w:tcW w:w="6237" w:type="dxa"/>
          </w:tcPr>
          <w:p w14:paraId="2B9B0AC4" w14:textId="77777777" w:rsidR="009D4C7F" w:rsidRPr="00C139B4" w:rsidRDefault="009D4C7F" w:rsidP="002B6321">
            <w:pPr>
              <w:pStyle w:val="TAH"/>
              <w:rPr>
                <w:lang w:val="fr-FR"/>
              </w:rPr>
            </w:pPr>
            <w:r w:rsidRPr="00C139B4">
              <w:rPr>
                <w:lang w:val="fr-FR"/>
              </w:rPr>
              <w:t>Description</w:t>
            </w:r>
          </w:p>
        </w:tc>
      </w:tr>
      <w:tr w:rsidR="009D4C7F" w:rsidRPr="00C139B4" w14:paraId="6A9C4BFE" w14:textId="77777777" w:rsidTr="002B6321">
        <w:trPr>
          <w:trHeight w:val="401"/>
          <w:jc w:val="center"/>
        </w:trPr>
        <w:tc>
          <w:tcPr>
            <w:tcW w:w="1418" w:type="dxa"/>
          </w:tcPr>
          <w:p w14:paraId="641547E7" w14:textId="77777777" w:rsidR="009D4C7F" w:rsidRPr="00C139B4" w:rsidRDefault="009D4C7F" w:rsidP="002B6321">
            <w:pPr>
              <w:pStyle w:val="TAL"/>
            </w:pPr>
            <w:r w:rsidRPr="00C139B4">
              <w:t>IMSI</w:t>
            </w:r>
          </w:p>
          <w:p w14:paraId="1F7459B0" w14:textId="77777777" w:rsidR="009D4C7F" w:rsidRPr="00C139B4" w:rsidRDefault="009D4C7F" w:rsidP="002B6321">
            <w:pPr>
              <w:pStyle w:val="TAL"/>
              <w:rPr>
                <w:lang w:val="en-AU"/>
              </w:rPr>
            </w:pPr>
          </w:p>
        </w:tc>
        <w:tc>
          <w:tcPr>
            <w:tcW w:w="1416" w:type="dxa"/>
          </w:tcPr>
          <w:p w14:paraId="4DA17693"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464EC3BD" w14:textId="77777777" w:rsidR="009D4C7F" w:rsidRPr="00C139B4" w:rsidRDefault="009D4C7F" w:rsidP="002B6321">
            <w:pPr>
              <w:pStyle w:val="TAC"/>
              <w:rPr>
                <w:lang w:val="en-AU"/>
              </w:rPr>
            </w:pPr>
            <w:r w:rsidRPr="00C139B4">
              <w:t>M</w:t>
            </w:r>
          </w:p>
        </w:tc>
        <w:tc>
          <w:tcPr>
            <w:tcW w:w="6237" w:type="dxa"/>
          </w:tcPr>
          <w:p w14:paraId="56B7F76F" w14:textId="2DD719AE" w:rsidR="009D4C7F" w:rsidRPr="00C139B4" w:rsidRDefault="009D4C7F" w:rsidP="002B6321">
            <w:pPr>
              <w:pStyle w:val="TAL"/>
            </w:pPr>
            <w:r w:rsidRPr="00C139B4">
              <w:t xml:space="preserve">This information element </w:t>
            </w:r>
            <w:r w:rsidRPr="00C139B4">
              <w:rPr>
                <w:rFonts w:hint="eastAsia"/>
                <w:lang w:eastAsia="zh-CN"/>
              </w:rPr>
              <w:t>shall</w:t>
            </w:r>
            <w:r w:rsidRPr="00C139B4">
              <w:t xml:space="preserve">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B441628" w14:textId="77777777" w:rsidTr="002B6321">
        <w:trPr>
          <w:trHeight w:val="401"/>
          <w:jc w:val="center"/>
        </w:trPr>
        <w:tc>
          <w:tcPr>
            <w:tcW w:w="1418" w:type="dxa"/>
          </w:tcPr>
          <w:p w14:paraId="091C33FB" w14:textId="77777777" w:rsidR="009D4C7F" w:rsidRPr="00C139B4" w:rsidRDefault="009D4C7F" w:rsidP="002B6321">
            <w:pPr>
              <w:pStyle w:val="TAL"/>
            </w:pPr>
            <w:r w:rsidRPr="00C139B4">
              <w:t>Supported Features</w:t>
            </w:r>
          </w:p>
          <w:p w14:paraId="1A02DC7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7AD037C9" w14:textId="77777777" w:rsidR="009D4C7F" w:rsidRPr="00C139B4" w:rsidRDefault="009D4C7F" w:rsidP="002B6321">
            <w:pPr>
              <w:pStyle w:val="TAL"/>
            </w:pPr>
            <w:r w:rsidRPr="00C139B4">
              <w:t>Supported-Features</w:t>
            </w:r>
          </w:p>
        </w:tc>
        <w:tc>
          <w:tcPr>
            <w:tcW w:w="603" w:type="dxa"/>
          </w:tcPr>
          <w:p w14:paraId="20F91E92" w14:textId="77777777" w:rsidR="009D4C7F" w:rsidRPr="00C139B4" w:rsidRDefault="009D4C7F" w:rsidP="002B6321">
            <w:pPr>
              <w:pStyle w:val="TAC"/>
            </w:pPr>
            <w:r w:rsidRPr="00C139B4">
              <w:rPr>
                <w:lang w:val="en-AU"/>
              </w:rPr>
              <w:t>O</w:t>
            </w:r>
          </w:p>
        </w:tc>
        <w:tc>
          <w:tcPr>
            <w:tcW w:w="6237" w:type="dxa"/>
          </w:tcPr>
          <w:p w14:paraId="101686F5"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DC11779" w14:textId="77777777" w:rsidTr="002B6321">
        <w:trPr>
          <w:trHeight w:val="401"/>
          <w:jc w:val="center"/>
        </w:trPr>
        <w:tc>
          <w:tcPr>
            <w:tcW w:w="1418" w:type="dxa"/>
          </w:tcPr>
          <w:p w14:paraId="5E623488" w14:textId="77777777" w:rsidR="00C31AA7" w:rsidRPr="00C139B4" w:rsidRDefault="009D4C7F" w:rsidP="002B6321">
            <w:pPr>
              <w:pStyle w:val="TAL"/>
              <w:rPr>
                <w:snapToGrid w:val="0"/>
              </w:rPr>
            </w:pPr>
            <w:r w:rsidRPr="00C139B4">
              <w:rPr>
                <w:snapToGrid w:val="0"/>
              </w:rPr>
              <w:t>D</w:t>
            </w:r>
            <w:r w:rsidRPr="00C139B4">
              <w:rPr>
                <w:rFonts w:hint="eastAsia"/>
                <w:snapToGrid w:val="0"/>
                <w:lang w:eastAsia="zh-CN"/>
              </w:rPr>
              <w:t xml:space="preserve">SR </w:t>
            </w:r>
            <w:r w:rsidRPr="00C139B4">
              <w:rPr>
                <w:snapToGrid w:val="0"/>
              </w:rPr>
              <w:t>Flags</w:t>
            </w:r>
          </w:p>
          <w:p w14:paraId="049CC1D7" w14:textId="7886272F" w:rsidR="009D4C7F" w:rsidRPr="00C139B4" w:rsidRDefault="009D4C7F" w:rsidP="002B6321">
            <w:pPr>
              <w:pStyle w:val="TAL"/>
              <w:rPr>
                <w:snapToGrid w:val="0"/>
              </w:rPr>
            </w:pPr>
            <w:r w:rsidRPr="00C139B4">
              <w:rPr>
                <w:snapToGrid w:val="0"/>
              </w:rPr>
              <w:t>(See 7.3.</w:t>
            </w:r>
            <w:r w:rsidRPr="00C139B4">
              <w:rPr>
                <w:snapToGrid w:val="0"/>
                <w:lang w:eastAsia="zh-CN"/>
              </w:rPr>
              <w:t>25</w:t>
            </w:r>
            <w:r w:rsidRPr="00C139B4">
              <w:rPr>
                <w:rFonts w:hint="eastAsia"/>
                <w:snapToGrid w:val="0"/>
                <w:lang w:eastAsia="zh-CN"/>
              </w:rPr>
              <w:t>)</w:t>
            </w:r>
          </w:p>
        </w:tc>
        <w:tc>
          <w:tcPr>
            <w:tcW w:w="1416" w:type="dxa"/>
          </w:tcPr>
          <w:p w14:paraId="0CC517B8" w14:textId="77777777" w:rsidR="009D4C7F" w:rsidRPr="00C139B4" w:rsidRDefault="009D4C7F" w:rsidP="002B6321">
            <w:pPr>
              <w:pStyle w:val="TAL"/>
              <w:rPr>
                <w:lang w:val="en-US"/>
              </w:rPr>
            </w:pPr>
            <w:r w:rsidRPr="00C139B4">
              <w:rPr>
                <w:lang w:val="en-US"/>
              </w:rPr>
              <w:t>D</w:t>
            </w:r>
            <w:r w:rsidRPr="00C139B4">
              <w:rPr>
                <w:rFonts w:hint="eastAsia"/>
                <w:lang w:val="en-US" w:eastAsia="zh-CN"/>
              </w:rPr>
              <w:t>SR</w:t>
            </w:r>
            <w:r w:rsidRPr="00C139B4">
              <w:rPr>
                <w:lang w:val="en-US"/>
              </w:rPr>
              <w:t>-Flags</w:t>
            </w:r>
          </w:p>
        </w:tc>
        <w:tc>
          <w:tcPr>
            <w:tcW w:w="603" w:type="dxa"/>
          </w:tcPr>
          <w:p w14:paraId="002BB3AE" w14:textId="77777777" w:rsidR="009D4C7F" w:rsidRPr="00C139B4" w:rsidRDefault="009D4C7F" w:rsidP="002B6321">
            <w:pPr>
              <w:pStyle w:val="TAC"/>
              <w:rPr>
                <w:lang w:val="en-AU" w:eastAsia="zh-CN"/>
              </w:rPr>
            </w:pPr>
            <w:r w:rsidRPr="00C139B4">
              <w:rPr>
                <w:rFonts w:hint="eastAsia"/>
                <w:lang w:val="en-AU" w:eastAsia="zh-CN"/>
              </w:rPr>
              <w:t>M</w:t>
            </w:r>
          </w:p>
        </w:tc>
        <w:tc>
          <w:tcPr>
            <w:tcW w:w="6237" w:type="dxa"/>
          </w:tcPr>
          <w:p w14:paraId="2798D8C7" w14:textId="77777777" w:rsidR="009D4C7F" w:rsidRPr="00C139B4" w:rsidRDefault="009D4C7F" w:rsidP="002B6321">
            <w:pPr>
              <w:pStyle w:val="TAL"/>
              <w:rPr>
                <w:lang w:eastAsia="zh-CN"/>
              </w:rPr>
            </w:pPr>
            <w:r w:rsidRPr="00C139B4">
              <w:t>This Information Element shall contain a bit mask. See 7.3.</w:t>
            </w:r>
            <w:r w:rsidRPr="00C139B4">
              <w:rPr>
                <w:lang w:eastAsia="zh-CN"/>
              </w:rPr>
              <w:t>25</w:t>
            </w:r>
            <w:r w:rsidRPr="00C139B4">
              <w:t xml:space="preserve"> for the meaning of the bits.</w:t>
            </w:r>
          </w:p>
        </w:tc>
      </w:tr>
      <w:tr w:rsidR="009D4C7F" w:rsidRPr="00C139B4" w14:paraId="7A2597D8" w14:textId="77777777" w:rsidTr="002B6321">
        <w:trPr>
          <w:trHeight w:val="401"/>
          <w:jc w:val="center"/>
        </w:trPr>
        <w:tc>
          <w:tcPr>
            <w:tcW w:w="1418" w:type="dxa"/>
          </w:tcPr>
          <w:p w14:paraId="63AE4244" w14:textId="77777777" w:rsidR="009D4C7F" w:rsidRPr="00C139B4" w:rsidRDefault="009D4C7F" w:rsidP="002B6321">
            <w:pPr>
              <w:pStyle w:val="TAL"/>
              <w:rPr>
                <w:snapToGrid w:val="0"/>
                <w:lang w:eastAsia="zh-CN"/>
              </w:rPr>
            </w:pPr>
            <w:r w:rsidRPr="00C139B4">
              <w:rPr>
                <w:rFonts w:hint="eastAsia"/>
                <w:snapToGrid w:val="0"/>
                <w:lang w:eastAsia="zh-CN"/>
              </w:rPr>
              <w:t>Trace Reference</w:t>
            </w:r>
          </w:p>
          <w:p w14:paraId="2F310538" w14:textId="77777777" w:rsidR="009D4C7F" w:rsidRPr="00C139B4" w:rsidRDefault="009D4C7F" w:rsidP="002B6321">
            <w:pPr>
              <w:pStyle w:val="TAL"/>
              <w:rPr>
                <w:snapToGrid w:val="0"/>
                <w:lang w:eastAsia="zh-CN"/>
              </w:rPr>
            </w:pPr>
            <w:r w:rsidRPr="00C139B4">
              <w:rPr>
                <w:snapToGrid w:val="0"/>
              </w:rPr>
              <w:t>(See 7.3.</w:t>
            </w:r>
            <w:r w:rsidRPr="00C139B4">
              <w:rPr>
                <w:snapToGrid w:val="0"/>
                <w:lang w:eastAsia="zh-CN"/>
              </w:rPr>
              <w:t>64</w:t>
            </w:r>
            <w:r w:rsidRPr="00C139B4">
              <w:rPr>
                <w:rFonts w:hint="eastAsia"/>
                <w:snapToGrid w:val="0"/>
                <w:lang w:eastAsia="zh-CN"/>
              </w:rPr>
              <w:t>)</w:t>
            </w:r>
          </w:p>
        </w:tc>
        <w:tc>
          <w:tcPr>
            <w:tcW w:w="1416" w:type="dxa"/>
          </w:tcPr>
          <w:p w14:paraId="06A1F902" w14:textId="77777777" w:rsidR="009D4C7F" w:rsidRPr="00C139B4" w:rsidRDefault="009D4C7F" w:rsidP="002B6321">
            <w:pPr>
              <w:pStyle w:val="TAL"/>
              <w:rPr>
                <w:lang w:val="en-US"/>
              </w:rPr>
            </w:pPr>
            <w:r w:rsidRPr="00C139B4">
              <w:rPr>
                <w:rFonts w:hint="eastAsia"/>
                <w:snapToGrid w:val="0"/>
                <w:lang w:eastAsia="zh-CN"/>
              </w:rPr>
              <w:t>Trace- Reference</w:t>
            </w:r>
          </w:p>
        </w:tc>
        <w:tc>
          <w:tcPr>
            <w:tcW w:w="603" w:type="dxa"/>
          </w:tcPr>
          <w:p w14:paraId="0EDA7608"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6DEEBC23"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the same value </w:t>
            </w:r>
            <w:r w:rsidRPr="00C139B4">
              <w:t>as used for the activation of the Trace Session.</w:t>
            </w:r>
          </w:p>
          <w:p w14:paraId="7AB4837F" w14:textId="77777777" w:rsidR="009D4C7F" w:rsidRPr="00C139B4" w:rsidRDefault="009D4C7F" w:rsidP="002B6321">
            <w:pPr>
              <w:pStyle w:val="TAL"/>
            </w:pPr>
            <w:r w:rsidRPr="00C139B4">
              <w:t>This element shall be present only if the "</w:t>
            </w:r>
            <w:r w:rsidRPr="00C139B4">
              <w:rPr>
                <w:rFonts w:hint="eastAsia"/>
                <w:lang w:eastAsia="zh-CN"/>
              </w:rPr>
              <w:t>Trace Data</w:t>
            </w:r>
            <w:r w:rsidRPr="00C139B4">
              <w:t xml:space="preserve"> Withdrawal" bit is set in the DSR-Flags.</w:t>
            </w:r>
          </w:p>
        </w:tc>
      </w:tr>
      <w:tr w:rsidR="009D4C7F" w:rsidRPr="00C139B4" w14:paraId="2E3F0B70" w14:textId="77777777" w:rsidTr="002B6321">
        <w:trPr>
          <w:trHeight w:val="401"/>
          <w:jc w:val="center"/>
        </w:trPr>
        <w:tc>
          <w:tcPr>
            <w:tcW w:w="1418" w:type="dxa"/>
          </w:tcPr>
          <w:p w14:paraId="0F3F2B4A"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056C6611" w14:textId="77777777" w:rsidR="009D4C7F" w:rsidRPr="00C139B4" w:rsidRDefault="009D4C7F" w:rsidP="002B6321">
            <w:pPr>
              <w:pStyle w:val="TAL"/>
              <w:rPr>
                <w:snapToGrid w:val="0"/>
              </w:rPr>
            </w:pPr>
            <w:r w:rsidRPr="00C139B4">
              <w:rPr>
                <w:snapToGrid w:val="0"/>
              </w:rPr>
              <w:t>(See 7.3.</w:t>
            </w:r>
            <w:r w:rsidRPr="00C139B4">
              <w:rPr>
                <w:snapToGrid w:val="0"/>
                <w:lang w:eastAsia="zh-CN"/>
              </w:rPr>
              <w:t>27</w:t>
            </w:r>
            <w:r w:rsidRPr="00C139B4">
              <w:rPr>
                <w:rFonts w:hint="eastAsia"/>
                <w:snapToGrid w:val="0"/>
                <w:lang w:eastAsia="zh-CN"/>
              </w:rPr>
              <w:t>)</w:t>
            </w:r>
          </w:p>
        </w:tc>
        <w:tc>
          <w:tcPr>
            <w:tcW w:w="1416" w:type="dxa"/>
          </w:tcPr>
          <w:p w14:paraId="2A9445C9" w14:textId="77777777" w:rsidR="009D4C7F" w:rsidRPr="00C139B4" w:rsidRDefault="009D4C7F" w:rsidP="002B6321">
            <w:pPr>
              <w:pStyle w:val="TAL"/>
              <w:rPr>
                <w:lang w:val="en-US"/>
              </w:rPr>
            </w:pPr>
            <w:r w:rsidRPr="00C139B4">
              <w:t>Context-Identifier</w:t>
            </w:r>
          </w:p>
        </w:tc>
        <w:tc>
          <w:tcPr>
            <w:tcW w:w="603" w:type="dxa"/>
          </w:tcPr>
          <w:p w14:paraId="1545FEEC"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3951617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PDN subscription context or GPRS-PDP context </w:t>
            </w:r>
            <w:r w:rsidRPr="00C139B4">
              <w:rPr>
                <w:rFonts w:hint="eastAsia"/>
                <w:lang w:eastAsia="zh-CN"/>
              </w:rPr>
              <w:t>that shall</w:t>
            </w:r>
            <w:r w:rsidRPr="00C139B4">
              <w:t xml:space="preserve"> be deleted.</w:t>
            </w:r>
          </w:p>
          <w:p w14:paraId="02155293" w14:textId="77777777" w:rsidR="009D4C7F" w:rsidRPr="00C139B4" w:rsidRDefault="009D4C7F" w:rsidP="002B6321">
            <w:pPr>
              <w:pStyle w:val="TAL"/>
            </w:pPr>
            <w:r w:rsidRPr="00C139B4">
              <w:t>This element shall be present only if the "PDN subscription context</w:t>
            </w:r>
            <w:r w:rsidRPr="00C139B4">
              <w:rPr>
                <w:rFonts w:hint="eastAsia"/>
              </w:rPr>
              <w:t>s</w:t>
            </w:r>
            <w:r w:rsidRPr="00C139B4">
              <w:t xml:space="preserve"> Withdrawal" bit or the "PDP context withdrawal" bit is set in the DSR-Flags. In the "PDN subscription contexts Withdrawal" case, the Context-Identifier shall not be associated with the default APN configuration.</w:t>
            </w:r>
          </w:p>
          <w:p w14:paraId="070D8F4C"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82FFF45" w14:textId="77777777" w:rsidTr="002B6321">
        <w:trPr>
          <w:trHeight w:val="401"/>
          <w:jc w:val="center"/>
        </w:trPr>
        <w:tc>
          <w:tcPr>
            <w:tcW w:w="1418" w:type="dxa"/>
          </w:tcPr>
          <w:p w14:paraId="43A69454" w14:textId="77777777" w:rsidR="009D4C7F" w:rsidRPr="00C139B4" w:rsidRDefault="009D4C7F" w:rsidP="00677A08">
            <w:pPr>
              <w:pStyle w:val="TAL"/>
              <w:rPr>
                <w:lang w:eastAsia="zh-CN"/>
              </w:rPr>
            </w:pPr>
            <w:r w:rsidRPr="00677A08">
              <w:rPr>
                <w:rFonts w:hint="eastAsia"/>
              </w:rPr>
              <w:t>TS Code List</w:t>
            </w:r>
          </w:p>
          <w:p w14:paraId="68954480" w14:textId="77777777" w:rsidR="009D4C7F" w:rsidRPr="00C139B4" w:rsidRDefault="009D4C7F" w:rsidP="00677A08">
            <w:pPr>
              <w:pStyle w:val="TAL"/>
            </w:pPr>
            <w:r w:rsidRPr="00677A08">
              <w:t>(See 7.3.100</w:t>
            </w:r>
            <w:r w:rsidRPr="00677A08">
              <w:rPr>
                <w:rFonts w:hint="eastAsia"/>
              </w:rPr>
              <w:t>)</w:t>
            </w:r>
          </w:p>
        </w:tc>
        <w:tc>
          <w:tcPr>
            <w:tcW w:w="1416" w:type="dxa"/>
          </w:tcPr>
          <w:p w14:paraId="4171CCE6" w14:textId="77777777" w:rsidR="009D4C7F" w:rsidRPr="00C139B4" w:rsidRDefault="009D4C7F" w:rsidP="002B6321">
            <w:pPr>
              <w:pStyle w:val="TAC"/>
              <w:jc w:val="left"/>
            </w:pPr>
            <w:r w:rsidRPr="00C139B4">
              <w:rPr>
                <w:rFonts w:hint="eastAsia"/>
                <w:lang w:eastAsia="zh-CN"/>
              </w:rPr>
              <w:t>TS-Code</w:t>
            </w:r>
          </w:p>
        </w:tc>
        <w:tc>
          <w:tcPr>
            <w:tcW w:w="603" w:type="dxa"/>
          </w:tcPr>
          <w:p w14:paraId="45CE6AB2"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AE01206"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tele</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21201E1D"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in the DSR-Flags</w:t>
            </w:r>
            <w:r w:rsidRPr="00677A08">
              <w:rPr>
                <w:rFonts w:hint="eastAsia"/>
              </w:rPr>
              <w:t xml:space="preserve"> and the SMS related teleservice codes are to be deleted</w:t>
            </w:r>
            <w:r w:rsidRPr="00677A08">
              <w:t>.</w:t>
            </w:r>
          </w:p>
        </w:tc>
      </w:tr>
      <w:tr w:rsidR="009D4C7F" w:rsidRPr="00C139B4" w14:paraId="13E4840B" w14:textId="77777777" w:rsidTr="002B6321">
        <w:trPr>
          <w:trHeight w:val="401"/>
          <w:jc w:val="center"/>
        </w:trPr>
        <w:tc>
          <w:tcPr>
            <w:tcW w:w="1418" w:type="dxa"/>
          </w:tcPr>
          <w:p w14:paraId="1460F7E0" w14:textId="77777777" w:rsidR="009D4C7F" w:rsidRPr="00C139B4" w:rsidRDefault="009D4C7F" w:rsidP="00677A08">
            <w:pPr>
              <w:pStyle w:val="TAL"/>
              <w:rPr>
                <w:lang w:eastAsia="zh-CN"/>
              </w:rPr>
            </w:pPr>
            <w:r w:rsidRPr="00677A08">
              <w:rPr>
                <w:rFonts w:hint="eastAsia"/>
              </w:rPr>
              <w:t>SS Code List</w:t>
            </w:r>
          </w:p>
          <w:p w14:paraId="6711FEE0" w14:textId="77777777" w:rsidR="009D4C7F" w:rsidRPr="00C139B4" w:rsidRDefault="009D4C7F" w:rsidP="00677A08">
            <w:pPr>
              <w:pStyle w:val="TAL"/>
            </w:pPr>
            <w:r w:rsidRPr="00677A08">
              <w:t>(See 7.3.</w:t>
            </w:r>
            <w:r w:rsidRPr="00677A08">
              <w:rPr>
                <w:rFonts w:hint="eastAsia"/>
              </w:rPr>
              <w:t>87)</w:t>
            </w:r>
          </w:p>
        </w:tc>
        <w:tc>
          <w:tcPr>
            <w:tcW w:w="1416" w:type="dxa"/>
          </w:tcPr>
          <w:p w14:paraId="386BC18D" w14:textId="77777777" w:rsidR="009D4C7F" w:rsidRPr="00C139B4" w:rsidRDefault="009D4C7F" w:rsidP="002B6321">
            <w:pPr>
              <w:pStyle w:val="TAC"/>
              <w:jc w:val="left"/>
            </w:pPr>
            <w:r w:rsidRPr="00C139B4">
              <w:rPr>
                <w:rFonts w:hint="eastAsia"/>
                <w:lang w:eastAsia="zh-CN"/>
              </w:rPr>
              <w:t>SS-Code</w:t>
            </w:r>
          </w:p>
        </w:tc>
        <w:tc>
          <w:tcPr>
            <w:tcW w:w="603" w:type="dxa"/>
          </w:tcPr>
          <w:p w14:paraId="18ED0076"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57377839"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 xml:space="preserve">supplementary </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060BF5E2"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w:t>
            </w:r>
            <w:r w:rsidRPr="00677A08">
              <w:rPr>
                <w:rFonts w:hint="eastAsia"/>
              </w:rPr>
              <w:t>or the</w:t>
            </w:r>
            <w:r w:rsidRPr="00677A08">
              <w:t xml:space="preserve"> "</w:t>
            </w:r>
            <w:r w:rsidRPr="00677A08">
              <w:rPr>
                <w:rFonts w:hint="eastAsia"/>
              </w:rPr>
              <w:t>LCS</w:t>
            </w:r>
            <w:r w:rsidRPr="00677A08">
              <w:t xml:space="preserve"> Withdrawal"</w:t>
            </w:r>
            <w:r w:rsidRPr="00677A08">
              <w:rPr>
                <w:rFonts w:hint="eastAsia"/>
              </w:rPr>
              <w:t xml:space="preserve"> bit is set </w:t>
            </w:r>
            <w:r w:rsidRPr="00677A08">
              <w:t>in the DSR-Flags.</w:t>
            </w:r>
          </w:p>
        </w:tc>
      </w:tr>
      <w:tr w:rsidR="009D4C7F" w:rsidRPr="00C139B4" w14:paraId="210AD48B" w14:textId="77777777" w:rsidTr="002B6321">
        <w:trPr>
          <w:trHeight w:val="401"/>
          <w:jc w:val="center"/>
        </w:trPr>
        <w:tc>
          <w:tcPr>
            <w:tcW w:w="1418" w:type="dxa"/>
          </w:tcPr>
          <w:p w14:paraId="40AA6287" w14:textId="77777777" w:rsidR="009D4C7F" w:rsidRPr="00C139B4" w:rsidRDefault="009D4C7F" w:rsidP="002B6321">
            <w:pPr>
              <w:pStyle w:val="TAL"/>
              <w:rPr>
                <w:lang w:eastAsia="zh-CN"/>
              </w:rPr>
            </w:pPr>
            <w:r w:rsidRPr="00C139B4">
              <w:rPr>
                <w:lang w:eastAsia="zh-CN"/>
              </w:rPr>
              <w:t>SCEF-Id</w:t>
            </w:r>
          </w:p>
          <w:p w14:paraId="6392A849" w14:textId="77777777" w:rsidR="009D4C7F" w:rsidRPr="00C139B4" w:rsidRDefault="009D4C7F" w:rsidP="002B6321">
            <w:pPr>
              <w:pStyle w:val="TAL"/>
              <w:rPr>
                <w:lang w:eastAsia="zh-CN"/>
              </w:rPr>
            </w:pPr>
            <w:r w:rsidRPr="00C139B4">
              <w:rPr>
                <w:lang w:eastAsia="zh-CN"/>
              </w:rPr>
              <w:t xml:space="preserve">(See </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rPr>
                <w:lang w:eastAsia="zh-CN"/>
              </w:rPr>
              <w:t>)</w:t>
            </w:r>
          </w:p>
        </w:tc>
        <w:tc>
          <w:tcPr>
            <w:tcW w:w="1416" w:type="dxa"/>
          </w:tcPr>
          <w:p w14:paraId="0C4EF128" w14:textId="77777777" w:rsidR="009D4C7F" w:rsidRPr="00C139B4" w:rsidRDefault="009D4C7F" w:rsidP="00677A08">
            <w:pPr>
              <w:pStyle w:val="TAL"/>
              <w:rPr>
                <w:lang w:eastAsia="zh-CN"/>
              </w:rPr>
            </w:pPr>
            <w:r w:rsidRPr="00677A08">
              <w:t>SCEF-ID</w:t>
            </w:r>
          </w:p>
        </w:tc>
        <w:tc>
          <w:tcPr>
            <w:tcW w:w="603" w:type="dxa"/>
          </w:tcPr>
          <w:p w14:paraId="4B864FF1" w14:textId="77777777" w:rsidR="009D4C7F" w:rsidRPr="00C139B4" w:rsidRDefault="009D4C7F" w:rsidP="002B6321">
            <w:pPr>
              <w:pStyle w:val="TAC"/>
              <w:rPr>
                <w:lang w:val="en-AU" w:eastAsia="zh-CN"/>
              </w:rPr>
            </w:pPr>
            <w:r w:rsidRPr="00C139B4">
              <w:rPr>
                <w:lang w:val="en-AU" w:eastAsia="zh-CN"/>
              </w:rPr>
              <w:t>C</w:t>
            </w:r>
          </w:p>
        </w:tc>
        <w:tc>
          <w:tcPr>
            <w:tcW w:w="6237" w:type="dxa"/>
          </w:tcPr>
          <w:p w14:paraId="0BBB4554" w14:textId="77777777" w:rsidR="00C31AA7" w:rsidRPr="00C139B4" w:rsidRDefault="009D4C7F" w:rsidP="002B6321">
            <w:pPr>
              <w:pStyle w:val="TAL"/>
              <w:rPr>
                <w:lang w:val="sv-SE" w:eastAsia="zh-CN"/>
              </w:rPr>
            </w:pPr>
            <w:r w:rsidRPr="00C139B4">
              <w:rPr>
                <w:lang w:val="sv-SE" w:eastAsia="zh-CN"/>
              </w:rPr>
              <w:t>This parameter shall contain the identity of the SCEF to which monitoring events that are to be deleted are associated.</w:t>
            </w:r>
          </w:p>
          <w:p w14:paraId="2567FABC" w14:textId="2A5F573F" w:rsidR="009D4C7F" w:rsidRPr="00C139B4" w:rsidRDefault="009D4C7F" w:rsidP="002B6321">
            <w:pPr>
              <w:pStyle w:val="TAL"/>
            </w:pPr>
            <w:r w:rsidRPr="00C139B4">
              <w:rPr>
                <w:lang w:val="sv-SE" w:eastAsia="zh-CN"/>
              </w:rPr>
              <w:t>This element shall be present if the</w:t>
            </w:r>
            <w:r w:rsidRPr="00C139B4">
              <w:t xml:space="preserve"> "</w:t>
            </w:r>
            <w:r w:rsidRPr="00C139B4">
              <w:rPr>
                <w:lang w:val="sv-SE" w:eastAsia="zh-CN"/>
              </w:rPr>
              <w:t>Delete monitoring events</w:t>
            </w:r>
            <w:r w:rsidRPr="00C139B4">
              <w:t>" bit</w:t>
            </w:r>
            <w:r w:rsidRPr="00C139B4">
              <w:rPr>
                <w:lang w:val="sv-SE" w:eastAsia="zh-CN"/>
              </w:rPr>
              <w:t xml:space="preserve"> is set in the DSR-Flags.</w:t>
            </w:r>
          </w:p>
        </w:tc>
      </w:tr>
      <w:tr w:rsidR="009D4C7F" w:rsidRPr="00C139B4" w14:paraId="021648F9" w14:textId="77777777" w:rsidTr="002B6321">
        <w:trPr>
          <w:trHeight w:val="401"/>
          <w:jc w:val="center"/>
        </w:trPr>
        <w:tc>
          <w:tcPr>
            <w:tcW w:w="1418" w:type="dxa"/>
          </w:tcPr>
          <w:p w14:paraId="37888E98" w14:textId="77777777" w:rsidR="009D4C7F" w:rsidRPr="00C139B4" w:rsidRDefault="009D4C7F" w:rsidP="002B6321">
            <w:pPr>
              <w:pStyle w:val="TAL"/>
              <w:rPr>
                <w:lang w:eastAsia="zh-CN"/>
              </w:rPr>
            </w:pPr>
            <w:r w:rsidRPr="00C139B4">
              <w:rPr>
                <w:rFonts w:hint="eastAsia"/>
                <w:lang w:eastAsia="zh-CN"/>
              </w:rPr>
              <w:t>eDRX Related RAT List</w:t>
            </w:r>
          </w:p>
        </w:tc>
        <w:tc>
          <w:tcPr>
            <w:tcW w:w="1416" w:type="dxa"/>
          </w:tcPr>
          <w:p w14:paraId="0CD33C9B" w14:textId="77777777" w:rsidR="009D4C7F" w:rsidRPr="00C139B4" w:rsidRDefault="009D4C7F" w:rsidP="00677A08">
            <w:pPr>
              <w:pStyle w:val="TAL"/>
              <w:rPr>
                <w:lang w:eastAsia="zh-CN"/>
              </w:rPr>
            </w:pPr>
            <w:r w:rsidRPr="00677A08">
              <w:rPr>
                <w:rFonts w:hint="eastAsia"/>
              </w:rPr>
              <w:t>eDRX-Related-RAT</w:t>
            </w:r>
          </w:p>
        </w:tc>
        <w:tc>
          <w:tcPr>
            <w:tcW w:w="603" w:type="dxa"/>
          </w:tcPr>
          <w:p w14:paraId="1EC8C28E"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6DC7690"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RAT types for which the eDRX Cycle Lengths is to be deleted from the subscription.</w:t>
            </w:r>
          </w:p>
          <w:p w14:paraId="22BD35E6" w14:textId="77777777" w:rsidR="009D4C7F" w:rsidRDefault="009D4C7F" w:rsidP="002B6321">
            <w:pPr>
              <w:pStyle w:val="TAL"/>
            </w:pPr>
            <w:r w:rsidRPr="00C139B4">
              <w:t>This element shall be present only if the "</w:t>
            </w:r>
            <w:r w:rsidRPr="00C139B4">
              <w:rPr>
                <w:lang w:eastAsia="zh-CN"/>
              </w:rPr>
              <w:t>eDRX-Cycle-Length</w:t>
            </w:r>
            <w:r w:rsidRPr="00C139B4">
              <w:rPr>
                <w:rFonts w:hint="eastAsia"/>
                <w:lang w:val="en-US" w:eastAsia="zh-CN"/>
              </w:rPr>
              <w:t>-Withdrawa</w:t>
            </w:r>
            <w:r w:rsidRPr="00C139B4">
              <w:t>l" bit is set in the DSR-Flags</w:t>
            </w:r>
            <w:r w:rsidRPr="00C139B4">
              <w:rPr>
                <w:rFonts w:hint="eastAsia"/>
                <w:lang w:eastAsia="zh-CN"/>
              </w:rPr>
              <w:t xml:space="preserve"> and the corresponding eDRX Cycle Lengths are to be deleted</w:t>
            </w:r>
            <w:r w:rsidRPr="00C139B4">
              <w:t>.</w:t>
            </w:r>
          </w:p>
          <w:p w14:paraId="4FC98C40" w14:textId="77777777" w:rsidR="009D4C7F" w:rsidRPr="00C139B4" w:rsidRDefault="009D4C7F" w:rsidP="002B6321">
            <w:pPr>
              <w:pStyle w:val="TAL"/>
              <w:rPr>
                <w:lang w:val="sv-SE" w:eastAsia="zh-CN"/>
              </w:rPr>
            </w:pPr>
            <w:r>
              <w:rPr>
                <w:lang w:val="sv-SE" w:eastAsia="zh-CN"/>
              </w:rPr>
              <w:t xml:space="preserve">If the </w:t>
            </w:r>
            <w:r w:rsidRPr="007053EF">
              <w:rPr>
                <w:lang w:val="sv-SE" w:eastAsia="zh-CN"/>
              </w:rPr>
              <w:t>"eDRX-Cycle-Length-Withdrawal</w:t>
            </w:r>
            <w:r>
              <w:rPr>
                <w:lang w:val="sv-SE" w:eastAsia="zh-CN"/>
              </w:rPr>
              <w:t>" bit is set in DSR-Flags, but the eDRX-Related-RAT AVP is absent in this command, the MME/SGSN shall delete the stored eDRX cycle lengths for all RATs.</w:t>
            </w:r>
          </w:p>
        </w:tc>
      </w:tr>
      <w:tr w:rsidR="009D4C7F" w:rsidRPr="00C139B4" w14:paraId="16AE2241" w14:textId="77777777" w:rsidTr="002B6321">
        <w:trPr>
          <w:trHeight w:val="401"/>
          <w:jc w:val="center"/>
        </w:trPr>
        <w:tc>
          <w:tcPr>
            <w:tcW w:w="1418" w:type="dxa"/>
          </w:tcPr>
          <w:p w14:paraId="2BFA2424" w14:textId="77777777" w:rsidR="009D4C7F" w:rsidRPr="00C139B4" w:rsidRDefault="009D4C7F" w:rsidP="002B6321">
            <w:pPr>
              <w:pStyle w:val="TAL"/>
              <w:rPr>
                <w:lang w:eastAsia="zh-CN"/>
              </w:rPr>
            </w:pPr>
            <w:r>
              <w:rPr>
                <w:lang w:eastAsia="zh-CN"/>
              </w:rPr>
              <w:t>External Identifiers</w:t>
            </w:r>
          </w:p>
        </w:tc>
        <w:tc>
          <w:tcPr>
            <w:tcW w:w="1416" w:type="dxa"/>
          </w:tcPr>
          <w:p w14:paraId="36494EF3" w14:textId="77777777" w:rsidR="009D4C7F" w:rsidRPr="00C139B4" w:rsidRDefault="009D4C7F" w:rsidP="00677A08">
            <w:pPr>
              <w:pStyle w:val="TAL"/>
              <w:rPr>
                <w:lang w:eastAsia="zh-CN"/>
              </w:rPr>
            </w:pPr>
            <w:r w:rsidRPr="00677A08">
              <w:t>External-Identifiers</w:t>
            </w:r>
          </w:p>
        </w:tc>
        <w:tc>
          <w:tcPr>
            <w:tcW w:w="603" w:type="dxa"/>
          </w:tcPr>
          <w:p w14:paraId="356690E7" w14:textId="77777777" w:rsidR="009D4C7F" w:rsidRPr="00C139B4" w:rsidRDefault="009D4C7F" w:rsidP="002B6321">
            <w:pPr>
              <w:pStyle w:val="TAC"/>
              <w:rPr>
                <w:lang w:val="en-AU" w:eastAsia="zh-CN"/>
              </w:rPr>
            </w:pPr>
            <w:r>
              <w:rPr>
                <w:lang w:val="en-AU" w:eastAsia="zh-CN"/>
              </w:rPr>
              <w:t>O</w:t>
            </w:r>
          </w:p>
        </w:tc>
        <w:tc>
          <w:tcPr>
            <w:tcW w:w="6237" w:type="dxa"/>
          </w:tcPr>
          <w:p w14:paraId="3AD1B27A" w14:textId="77777777" w:rsidR="009D4C7F" w:rsidRDefault="009D4C7F" w:rsidP="002B6321">
            <w:pPr>
              <w:pStyle w:val="TAL"/>
              <w:rPr>
                <w:lang w:eastAsia="zh-CN"/>
              </w:rPr>
            </w:pPr>
            <w:r>
              <w:t>If present, t</w:t>
            </w:r>
            <w:r w:rsidRPr="00C139B4">
              <w:t xml:space="preserve">his parameter </w:t>
            </w:r>
            <w:r w:rsidRPr="00C139B4">
              <w:rPr>
                <w:rFonts w:hint="eastAsia"/>
                <w:lang w:eastAsia="zh-CN"/>
              </w:rPr>
              <w:t xml:space="preserve">shall contain </w:t>
            </w:r>
            <w:r w:rsidRPr="00C139B4">
              <w:t xml:space="preserve">the </w:t>
            </w:r>
            <w:r>
              <w:rPr>
                <w:lang w:eastAsia="zh-CN"/>
              </w:rPr>
              <w:t>External Identifier(s)</w:t>
            </w:r>
            <w:r w:rsidRPr="00C139B4">
              <w:rPr>
                <w:rFonts w:hint="eastAsia"/>
                <w:lang w:eastAsia="zh-CN"/>
              </w:rPr>
              <w:t xml:space="preserve"> to be deleted from the subscri</w:t>
            </w:r>
            <w:r>
              <w:rPr>
                <w:lang w:eastAsia="zh-CN"/>
              </w:rPr>
              <w:t>ber data; the MME/SGSN shall also delete those monitoring events that include an External-Identifier AVP in their event configuration matching any of the External-Identifiers in this IE</w:t>
            </w:r>
            <w:r w:rsidRPr="00C139B4">
              <w:rPr>
                <w:rFonts w:hint="eastAsia"/>
                <w:lang w:eastAsia="zh-CN"/>
              </w:rPr>
              <w:t>.</w:t>
            </w:r>
          </w:p>
          <w:p w14:paraId="19B8D3E1" w14:textId="77777777" w:rsidR="009D4C7F" w:rsidRPr="00C139B4" w:rsidRDefault="009D4C7F" w:rsidP="002B6321">
            <w:pPr>
              <w:pStyle w:val="TAL"/>
              <w:rPr>
                <w:lang w:eastAsia="zh-CN"/>
              </w:rPr>
            </w:pPr>
          </w:p>
          <w:p w14:paraId="62A5253E" w14:textId="77777777" w:rsidR="009D4C7F" w:rsidRDefault="009D4C7F" w:rsidP="002B6321">
            <w:pPr>
              <w:pStyle w:val="TAL"/>
            </w:pPr>
            <w:r w:rsidRPr="00C139B4">
              <w:t xml:space="preserve">This </w:t>
            </w:r>
            <w:r>
              <w:t xml:space="preserve">IE </w:t>
            </w:r>
            <w:r w:rsidRPr="00C139B4">
              <w:t xml:space="preserve">shall be </w:t>
            </w:r>
            <w:r>
              <w:t>absent</w:t>
            </w:r>
            <w:r w:rsidRPr="00C139B4">
              <w:t xml:space="preserve"> if the "</w:t>
            </w:r>
            <w:r>
              <w:rPr>
                <w:lang w:eastAsia="zh-CN"/>
              </w:rPr>
              <w:t>External-Identifier-Withdrawal</w:t>
            </w:r>
            <w:r w:rsidRPr="00C139B4">
              <w:t xml:space="preserve">" bit is </w:t>
            </w:r>
            <w:r>
              <w:t xml:space="preserve">not </w:t>
            </w:r>
            <w:r w:rsidRPr="00C139B4">
              <w:t>set in the DSR-Flags.</w:t>
            </w:r>
          </w:p>
          <w:p w14:paraId="7492B8CD" w14:textId="77777777" w:rsidR="009D4C7F" w:rsidRDefault="009D4C7F" w:rsidP="002B6321">
            <w:pPr>
              <w:pStyle w:val="TAL"/>
            </w:pPr>
          </w:p>
          <w:p w14:paraId="3BC88549" w14:textId="77777777" w:rsidR="009D4C7F" w:rsidRPr="00C139B4" w:rsidRDefault="009D4C7F" w:rsidP="002B6321">
            <w:pPr>
              <w:pStyle w:val="TAL"/>
            </w:pPr>
            <w:r>
              <w:t>If this IE is absent, and "</w:t>
            </w:r>
            <w:r>
              <w:rPr>
                <w:lang w:eastAsia="zh-CN"/>
              </w:rPr>
              <w:t>External-Identifier-Withdrawal" bit is set in DSR-Flags, the MME/SGSN shall delete the default External-Identifier in the Subscription-Data AVP and it shall also delete all monitoring events that include an External-Identifier AVP in their event configuration.</w:t>
            </w:r>
          </w:p>
        </w:tc>
      </w:tr>
    </w:tbl>
    <w:p>
      <w:r/>
    </w:p>
    <w:p>
      <w:r>
        <w:t>Table 5.</w:t>
      </w:r>
      <w:r>
        <w:t>2</w:t>
      </w:r>
      <w:r>
        <w:t>.</w:t>
      </w:r>
      <w:r>
        <w:t>2</w:t>
      </w:r>
      <w:r>
        <w:t>.</w:t>
      </w:r>
      <w:r>
        <w:t>2</w:t>
      </w:r>
      <w:r>
        <w:t>.1</w:t>
      </w:r>
      <w:r>
        <w:t>/2</w:t>
      </w:r>
      <w:r>
        <w:t xml:space="preserve">: </w:t>
      </w:r>
      <w:r>
        <w:t>Delete Subscriber Data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544BF4E1" w14:textId="77777777" w:rsidTr="002B6321">
        <w:trPr>
          <w:jc w:val="center"/>
        </w:trPr>
        <w:tc>
          <w:tcPr>
            <w:tcW w:w="1418" w:type="dxa"/>
          </w:tcPr>
          <w:p w14:paraId="5934770D" w14:textId="77777777" w:rsidR="009D4C7F" w:rsidRPr="00C139B4" w:rsidRDefault="009D4C7F" w:rsidP="002B6321">
            <w:pPr>
              <w:pStyle w:val="TAH"/>
            </w:pPr>
            <w:r w:rsidRPr="00C139B4">
              <w:t>Information element name</w:t>
            </w:r>
          </w:p>
        </w:tc>
        <w:tc>
          <w:tcPr>
            <w:tcW w:w="1418" w:type="dxa"/>
          </w:tcPr>
          <w:p w14:paraId="4CC80EC1" w14:textId="77777777" w:rsidR="009D4C7F" w:rsidRPr="00C139B4" w:rsidRDefault="009D4C7F" w:rsidP="002B6321">
            <w:pPr>
              <w:pStyle w:val="TAH"/>
            </w:pPr>
            <w:r w:rsidRPr="00C139B4">
              <w:t>Mapping to Diameter AVP</w:t>
            </w:r>
          </w:p>
        </w:tc>
        <w:tc>
          <w:tcPr>
            <w:tcW w:w="601" w:type="dxa"/>
          </w:tcPr>
          <w:p w14:paraId="31EAE492" w14:textId="77777777" w:rsidR="009D4C7F" w:rsidRPr="00C139B4" w:rsidRDefault="009D4C7F" w:rsidP="002B6321">
            <w:pPr>
              <w:pStyle w:val="TAH"/>
            </w:pPr>
            <w:r w:rsidRPr="00C139B4">
              <w:t>Cat.</w:t>
            </w:r>
          </w:p>
        </w:tc>
        <w:tc>
          <w:tcPr>
            <w:tcW w:w="6237" w:type="dxa"/>
          </w:tcPr>
          <w:p w14:paraId="1B4F8271" w14:textId="77777777" w:rsidR="009D4C7F" w:rsidRPr="00C139B4" w:rsidRDefault="009D4C7F" w:rsidP="002B6321">
            <w:pPr>
              <w:pStyle w:val="TAH"/>
            </w:pPr>
            <w:r w:rsidRPr="00C139B4">
              <w:t>Description</w:t>
            </w:r>
          </w:p>
        </w:tc>
      </w:tr>
      <w:tr w:rsidR="009D4C7F" w:rsidRPr="00C139B4" w14:paraId="111CB1E3" w14:textId="77777777" w:rsidTr="002B6321">
        <w:trPr>
          <w:jc w:val="center"/>
        </w:trPr>
        <w:tc>
          <w:tcPr>
            <w:tcW w:w="1418" w:type="dxa"/>
          </w:tcPr>
          <w:p w14:paraId="00FE2EB0" w14:textId="77777777" w:rsidR="009D4C7F" w:rsidRPr="00C139B4" w:rsidRDefault="009D4C7F" w:rsidP="002B6321">
            <w:pPr>
              <w:pStyle w:val="TAL"/>
            </w:pPr>
            <w:r w:rsidRPr="00C139B4">
              <w:t>Supported Features</w:t>
            </w:r>
          </w:p>
          <w:p w14:paraId="3251CC56" w14:textId="77777777" w:rsidR="009D4C7F" w:rsidRPr="00C139B4" w:rsidRDefault="009D4C7F" w:rsidP="002B6321">
            <w:pPr>
              <w:pStyle w:val="TAL"/>
            </w:pPr>
            <w:r w:rsidRPr="00C139B4">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p>
        </w:tc>
        <w:tc>
          <w:tcPr>
            <w:tcW w:w="1418" w:type="dxa"/>
          </w:tcPr>
          <w:p w14:paraId="0718D424" w14:textId="77777777" w:rsidR="009D4C7F" w:rsidRPr="00C139B4" w:rsidRDefault="009D4C7F" w:rsidP="002B6321">
            <w:pPr>
              <w:pStyle w:val="TAL"/>
            </w:pPr>
            <w:r w:rsidRPr="00C139B4">
              <w:t>Supported-Features</w:t>
            </w:r>
          </w:p>
        </w:tc>
        <w:tc>
          <w:tcPr>
            <w:tcW w:w="601" w:type="dxa"/>
          </w:tcPr>
          <w:p w14:paraId="5E8F2056" w14:textId="77777777" w:rsidR="009D4C7F" w:rsidRPr="00C139B4" w:rsidRDefault="009D4C7F" w:rsidP="002B6321">
            <w:pPr>
              <w:pStyle w:val="TAC"/>
            </w:pPr>
            <w:r w:rsidRPr="00C139B4">
              <w:t>O</w:t>
            </w:r>
          </w:p>
        </w:tc>
        <w:tc>
          <w:tcPr>
            <w:tcW w:w="6237" w:type="dxa"/>
          </w:tcPr>
          <w:p w14:paraId="33D86EB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658D1781" w14:textId="77777777" w:rsidTr="002B6321">
        <w:trPr>
          <w:trHeight w:val="401"/>
          <w:jc w:val="center"/>
        </w:trPr>
        <w:tc>
          <w:tcPr>
            <w:tcW w:w="1418" w:type="dxa"/>
          </w:tcPr>
          <w:p w14:paraId="14E0FC8D" w14:textId="77777777" w:rsidR="009D4C7F" w:rsidRPr="00C139B4" w:rsidRDefault="009D4C7F" w:rsidP="002B6321">
            <w:pPr>
              <w:pStyle w:val="TAL"/>
            </w:pPr>
            <w:r w:rsidRPr="00C139B4">
              <w:t>Result</w:t>
            </w:r>
          </w:p>
          <w:p w14:paraId="164571B6" w14:textId="77777777" w:rsidR="009D4C7F" w:rsidRPr="00C139B4" w:rsidRDefault="009D4C7F" w:rsidP="002B6321">
            <w:pPr>
              <w:pStyle w:val="TAL"/>
            </w:pPr>
            <w:r w:rsidRPr="00C139B4">
              <w:t>(See 7.4)</w:t>
            </w:r>
          </w:p>
        </w:tc>
        <w:tc>
          <w:tcPr>
            <w:tcW w:w="1418" w:type="dxa"/>
          </w:tcPr>
          <w:p w14:paraId="01280759" w14:textId="77777777" w:rsidR="009D4C7F" w:rsidRPr="00C139B4" w:rsidRDefault="009D4C7F" w:rsidP="002B6321">
            <w:pPr>
              <w:pStyle w:val="TAL"/>
            </w:pPr>
            <w:r w:rsidRPr="00C139B4">
              <w:t>Result-Code / Experimental-Result</w:t>
            </w:r>
          </w:p>
        </w:tc>
        <w:tc>
          <w:tcPr>
            <w:tcW w:w="601" w:type="dxa"/>
          </w:tcPr>
          <w:p w14:paraId="77AE8598" w14:textId="77777777" w:rsidR="009D4C7F" w:rsidRPr="00C139B4" w:rsidRDefault="009D4C7F" w:rsidP="002B6321">
            <w:pPr>
              <w:pStyle w:val="TAC"/>
              <w:rPr>
                <w:lang w:val="en-US"/>
              </w:rPr>
            </w:pPr>
            <w:r w:rsidRPr="00C139B4">
              <w:rPr>
                <w:lang w:val="en-US"/>
              </w:rPr>
              <w:t>M</w:t>
            </w:r>
          </w:p>
        </w:tc>
        <w:tc>
          <w:tcPr>
            <w:tcW w:w="6237" w:type="dxa"/>
          </w:tcPr>
          <w:p w14:paraId="7D48151F" w14:textId="77777777" w:rsidR="009D4C7F" w:rsidRPr="00C139B4" w:rsidRDefault="009D4C7F" w:rsidP="002B6321">
            <w:pPr>
              <w:pStyle w:val="TAL"/>
            </w:pPr>
            <w:r w:rsidRPr="00C139B4">
              <w:t>This IE shall contain the result of the operation.</w:t>
            </w:r>
          </w:p>
          <w:p w14:paraId="515F4A36" w14:textId="77777777" w:rsidR="009D4C7F" w:rsidRPr="00C139B4" w:rsidRDefault="009D4C7F" w:rsidP="002B6321">
            <w:pPr>
              <w:pStyle w:val="TAL"/>
            </w:pPr>
            <w:r w:rsidRPr="00C139B4">
              <w:rPr>
                <w:rFonts w:hint="eastAsia"/>
                <w:lang w:eastAsia="zh-CN"/>
              </w:rPr>
              <w:t xml:space="preserve">The </w:t>
            </w:r>
            <w:r w:rsidRPr="00C139B4">
              <w:t xml:space="preserve">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4FAECE83" w14:textId="77777777" w:rsidR="009D4C7F" w:rsidRPr="00C139B4" w:rsidRDefault="009D4C7F" w:rsidP="002B6321">
            <w:pPr>
              <w:pStyle w:val="TAL"/>
            </w:pPr>
            <w:r w:rsidRPr="00C139B4">
              <w:t>The Experimental-Result AVP shall be used for S6a/S6d errors. This is a grouped AVP which</w:t>
            </w:r>
            <w:r w:rsidRPr="00C139B4">
              <w:rPr>
                <w:rFonts w:hint="eastAsia"/>
                <w:lang w:eastAsia="zh-CN"/>
              </w:rPr>
              <w:t xml:space="preserve"> shall</w:t>
            </w:r>
            <w:r w:rsidRPr="00C139B4">
              <w:t xml:space="preserve"> contain the 3GPP Vendor ID in the Vendor-Id AVP, and the error code in the Experimental-Result-Code AVP.</w:t>
            </w:r>
          </w:p>
          <w:p w14:paraId="003549B7"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1759A7F5" w14:textId="77777777" w:rsidR="009D4C7F" w:rsidRPr="00C139B4" w:rsidRDefault="009D4C7F" w:rsidP="002B6321">
            <w:pPr>
              <w:pStyle w:val="TAL"/>
              <w:rPr>
                <w:lang w:eastAsia="zh-CN"/>
              </w:rPr>
            </w:pPr>
            <w:r w:rsidRPr="00C139B4">
              <w:t xml:space="preserve">- User </w:t>
            </w:r>
            <w:r w:rsidRPr="00C139B4">
              <w:rPr>
                <w:rFonts w:hint="eastAsia"/>
                <w:lang w:eastAsia="zh-CN"/>
              </w:rPr>
              <w:t>U</w:t>
            </w:r>
            <w:r w:rsidRPr="00C139B4">
              <w:t>nknown</w:t>
            </w:r>
          </w:p>
        </w:tc>
      </w:tr>
      <w:tr w:rsidR="009D4C7F" w:rsidRPr="00C139B4" w14:paraId="1FB278C9" w14:textId="77777777" w:rsidTr="002B6321">
        <w:trPr>
          <w:trHeight w:val="401"/>
          <w:jc w:val="center"/>
        </w:trPr>
        <w:tc>
          <w:tcPr>
            <w:tcW w:w="1418" w:type="dxa"/>
          </w:tcPr>
          <w:p w14:paraId="6B92C86C" w14:textId="77777777" w:rsidR="00C31AA7" w:rsidRPr="00C139B4" w:rsidRDefault="009D4C7F" w:rsidP="002B6321">
            <w:pPr>
              <w:pStyle w:val="TAL"/>
            </w:pPr>
            <w:r w:rsidRPr="00C139B4">
              <w:rPr>
                <w:rFonts w:hint="eastAsia"/>
              </w:rPr>
              <w:t>DS</w:t>
            </w:r>
            <w:r w:rsidRPr="00C139B4">
              <w:t>A</w:t>
            </w:r>
            <w:r w:rsidRPr="00C139B4">
              <w:rPr>
                <w:rFonts w:hint="eastAsia"/>
              </w:rPr>
              <w:t xml:space="preserve"> </w:t>
            </w:r>
            <w:r w:rsidRPr="00C139B4">
              <w:t>Flags</w:t>
            </w:r>
          </w:p>
          <w:p w14:paraId="4BCF93B7" w14:textId="791FB99D" w:rsidR="009D4C7F" w:rsidRPr="00C139B4" w:rsidRDefault="009D4C7F" w:rsidP="002B6321">
            <w:pPr>
              <w:pStyle w:val="TAL"/>
            </w:pPr>
            <w:r w:rsidRPr="00C139B4">
              <w:t>(See 7.3.26)</w:t>
            </w:r>
          </w:p>
        </w:tc>
        <w:tc>
          <w:tcPr>
            <w:tcW w:w="1418" w:type="dxa"/>
          </w:tcPr>
          <w:p w14:paraId="7562BD0D" w14:textId="77777777" w:rsidR="009D4C7F" w:rsidRPr="00C139B4" w:rsidRDefault="009D4C7F" w:rsidP="002B6321">
            <w:pPr>
              <w:pStyle w:val="TAL"/>
            </w:pPr>
            <w:r w:rsidRPr="00C139B4">
              <w:rPr>
                <w:rFonts w:hint="eastAsia"/>
              </w:rPr>
              <w:t>DS</w:t>
            </w:r>
            <w:r w:rsidRPr="00C139B4">
              <w:t>A-Flags</w:t>
            </w:r>
          </w:p>
        </w:tc>
        <w:tc>
          <w:tcPr>
            <w:tcW w:w="601" w:type="dxa"/>
          </w:tcPr>
          <w:p w14:paraId="67FB994D" w14:textId="77777777" w:rsidR="009D4C7F" w:rsidRPr="00C139B4" w:rsidRDefault="009D4C7F" w:rsidP="002B6321">
            <w:pPr>
              <w:pStyle w:val="TAC"/>
              <w:rPr>
                <w:lang w:val="en-US"/>
              </w:rPr>
            </w:pPr>
            <w:r w:rsidRPr="00C139B4">
              <w:rPr>
                <w:rFonts w:cs="Arial"/>
                <w:lang w:val="en-US"/>
              </w:rPr>
              <w:t>C</w:t>
            </w:r>
          </w:p>
        </w:tc>
        <w:tc>
          <w:tcPr>
            <w:tcW w:w="6237" w:type="dxa"/>
          </w:tcPr>
          <w:p w14:paraId="3A35094C" w14:textId="77777777" w:rsidR="009D4C7F" w:rsidRPr="00C139B4" w:rsidRDefault="009D4C7F" w:rsidP="002B6321">
            <w:pPr>
              <w:pStyle w:val="TAL"/>
            </w:pPr>
            <w:r w:rsidRPr="00C139B4">
              <w:t>This Information Element shall contain a bit mask. See 7.3.</w:t>
            </w:r>
            <w:r w:rsidRPr="00C139B4">
              <w:rPr>
                <w:lang w:eastAsia="zh-CN"/>
              </w:rPr>
              <w:t>26</w:t>
            </w:r>
            <w:r w:rsidRPr="00C139B4">
              <w:t xml:space="preserve"> for the meaning of the bits.</w:t>
            </w:r>
          </w:p>
        </w:tc>
      </w:tr>
    </w:tbl>
    <w:p>
      <w:r/>
    </w:p>
    <w:p>
      <w:pPr>
        <w:pStyle w:val="Heading3"/>
      </w:pPr>
      <w:r>
        <w:t>5</w:t>
      </w:r>
      <w:r>
        <w:t>.</w:t>
      </w:r>
      <w:r>
        <w:t>2</w:t>
      </w:r>
      <w:r>
        <w:t>.</w:t>
      </w:r>
      <w:r>
        <w:t>2.2.2</w:t>
      </w:r>
      <w:r>
        <w:tab/>
      </w:r>
      <w:r>
        <w:t xml:space="preserve">Detailed behaviour of the MME and </w:t>
      </w:r>
      <w:r>
        <w:t xml:space="preserve">the </w:t>
      </w:r>
      <w:r>
        <w:t>SGSN</w:t>
      </w:r>
    </w:p>
    <w:p>
      <w:r>
        <w:t>When receiving a Delete Subscriber Data request, the MME or SGSN shall check whether the IMSI is known.</w:t>
      </w:r>
    </w:p>
    <w:p>
      <w:r>
        <w:t xml:space="preserve">If it is not known, a result code of </w:t>
      </w:r>
      <w:r>
        <w:t>DIAMETER_ERROR_USER_UNKNOWN</w:t>
      </w:r>
      <w:r>
        <w:t xml:space="preserve"> </w:t>
      </w:r>
      <w:r>
        <w:t>shall be</w:t>
      </w:r>
      <w:r>
        <w:t xml:space="preserve"> </w:t>
      </w:r>
      <w:r>
        <w:t>returned.</w:t>
      </w:r>
    </w:p>
    <w:p>
      <w:r>
        <w:t>If it is known, but the Context-Identifier is associated with the default APN configuration, the MME shall not delete the PDN subscription context, and return an error with a Result-Code set to DIAMETER_UNABLE_TO_COMPLY. Otherwise, the MME or SGSN shall</w:t>
      </w:r>
      <w:r>
        <w:t xml:space="preserve"> delete the corresponding data according to the indication as sent in the request,</w:t>
      </w:r>
      <w:r>
        <w:t xml:space="preserve"> and acknowledge the </w:t>
      </w:r>
      <w:r>
        <w:t>Delete</w:t>
      </w:r>
      <w:r>
        <w:t xml:space="preserve"> Subscriber Data message by returning a </w:t>
      </w:r>
      <w:r>
        <w:t>Delete</w:t>
      </w:r>
      <w:r>
        <w:t xml:space="preserve"> Subscriber Data Answer.</w:t>
      </w:r>
    </w:p>
    <w:p>
      <w:r>
        <w:t>If an MME receives a Delete Subscriber Data Request with the "Complete</w:t>
      </w:r>
      <w:r>
        <w:t xml:space="preserve"> </w:t>
      </w:r>
      <w:r>
        <w:t>APN</w:t>
      </w:r>
      <w:r>
        <w:t xml:space="preserve"> </w:t>
      </w:r>
      <w:r>
        <w:t>Configuration</w:t>
      </w:r>
      <w:r>
        <w:t xml:space="preserve"> </w:t>
      </w:r>
      <w:r>
        <w:t>Profile</w:t>
      </w:r>
      <w:r>
        <w:t xml:space="preserve"> </w:t>
      </w:r>
      <w:r>
        <w:t>Withdraw</w:t>
      </w:r>
      <w:r>
        <w:t>al</w:t>
      </w:r>
      <w:r>
        <w:t xml:space="preserve">" bit set in the DSR-Flags AVP, it shall return an error with a </w:t>
      </w:r>
      <w:r>
        <w:t>Result-Code set to DIAMETER_UNABLE_TO_COMPLY.</w:t>
      </w:r>
    </w:p>
    <w:p>
      <w:r>
        <w:t>If the deletion of the subscription data succeeds in the MME</w:t>
      </w:r>
      <w:r>
        <w:t xml:space="preserve"> or SGSN</w:t>
      </w:r>
      <w:r>
        <w:t>, the Result-Code shall be set to DIAMETER_SUCCESS.</w:t>
      </w:r>
    </w:p>
    <w:p>
      <w:r>
        <w:t xml:space="preserve">If the </w:t>
      </w:r>
      <w:r>
        <w:t xml:space="preserve">Regional Subscription </w:t>
      </w:r>
      <w:r>
        <w:t>is deleted from the subscription data,</w:t>
      </w:r>
      <w:r>
        <w:t xml:space="preserve"> the </w:t>
      </w:r>
      <w:r>
        <w:t>SGSN</w:t>
      </w:r>
      <w:r>
        <w:t xml:space="preserve"> </w:t>
      </w:r>
      <w:r>
        <w:t>shall check for its routing areas whether they are allowed or not. If the entire SGSN area is restricted, SGSN</w:t>
      </w:r>
      <w:r>
        <w:t xml:space="preserve"> shall report it to the H</w:t>
      </w:r>
      <w:r>
        <w:t>SS</w:t>
      </w:r>
      <w:r>
        <w:t xml:space="preserve"> by returning the "SGSN Area Restricted" indication within the D</w:t>
      </w:r>
      <w:r>
        <w:t>S</w:t>
      </w:r>
      <w:r>
        <w:t>A flags.</w:t>
      </w:r>
    </w:p>
    <w:p>
      <w:r>
        <w:t xml:space="preserve">If </w:t>
      </w:r>
      <w:r>
        <w:t xml:space="preserve">the </w:t>
      </w:r>
      <w:r>
        <w:t xml:space="preserve">EPS </w:t>
      </w:r>
      <w:r>
        <w:t>Subscription Data</w:t>
      </w:r>
      <w:r>
        <w:t xml:space="preserve"> is deleted from the subscription data, </w:t>
      </w:r>
      <w:r>
        <w:t xml:space="preserve">the MME or SGSN shall check whether all </w:t>
      </w:r>
      <w:r>
        <w:t>EPS</w:t>
      </w:r>
      <w:r>
        <w:t xml:space="preserve"> Subscription Data for the subscriber </w:t>
      </w:r>
      <w:r>
        <w:t>is</w:t>
      </w:r>
      <w:r>
        <w:t xml:space="preserve"> deleted or if only a subset of the stored </w:t>
      </w:r>
      <w:r>
        <w:t>EPS</w:t>
      </w:r>
      <w:r>
        <w:t xml:space="preserve"> Subscription Data for the subscriber </w:t>
      </w:r>
      <w:r>
        <w:t>is</w:t>
      </w:r>
      <w:r>
        <w:t xml:space="preserve"> deleted</w:t>
      </w:r>
      <w:r>
        <w:t>, the MME</w:t>
      </w:r>
      <w:r>
        <w:t xml:space="preserve"> or SGSN</w:t>
      </w:r>
      <w:r>
        <w:t xml:space="preserve"> may then </w:t>
      </w:r>
      <w:r>
        <w:t xml:space="preserve">deactivate </w:t>
      </w:r>
      <w:r>
        <w:t>the a</w:t>
      </w:r>
      <w:r>
        <w:t>ssociated affected active EPS bearers.</w:t>
      </w:r>
    </w:p>
    <w:p>
      <w:r>
        <w:t xml:space="preserve">If </w:t>
      </w:r>
      <w:r>
        <w:t xml:space="preserve">the </w:t>
      </w:r>
      <w:r>
        <w:t>Subscribed Charging Characteristics</w:t>
      </w:r>
      <w:r>
        <w:t xml:space="preserve"> are deleted from the subscription data, the </w:t>
      </w:r>
      <w:r>
        <w:t>Gn/Gp-SGSN</w:t>
      </w:r>
      <w:r>
        <w:t xml:space="preserve"> shall </w:t>
      </w:r>
      <w:r>
        <w:t>maintain</w:t>
      </w:r>
      <w:r>
        <w:t xml:space="preserve"> the</w:t>
      </w:r>
      <w:r>
        <w:t xml:space="preserve"> existing</w:t>
      </w:r>
      <w:r>
        <w:t xml:space="preserve"> </w:t>
      </w:r>
      <w:r>
        <w:t>Subscribed Charging Characteristics</w:t>
      </w:r>
      <w:r>
        <w:t xml:space="preserve"> </w:t>
      </w:r>
      <w:r>
        <w:t xml:space="preserve">throughout the lifetime of the existing MM and PDP contexts, see </w:t>
      </w:r>
      <w:r>
        <w:t>3GPP TS 3</w:t>
      </w:r>
      <w:r>
        <w:t>2.251</w:t>
      </w:r>
      <w:r>
        <w:t xml:space="preserve"> [</w:t>
      </w:r>
      <w:r>
        <w:t>33]</w:t>
      </w:r>
      <w:r>
        <w:t>.</w:t>
      </w:r>
    </w:p>
    <w:p>
      <w:r>
        <w:t xml:space="preserve">If </w:t>
      </w:r>
      <w:r>
        <w:t xml:space="preserve">the </w:t>
      </w:r>
      <w:r>
        <w:t>Subscribed Charging Characteristics</w:t>
      </w:r>
      <w:r>
        <w:t xml:space="preserve"> are deleted from the subscription data, the </w:t>
      </w:r>
      <w:r>
        <w:t>MME or S4-SGSN shall</w:t>
      </w:r>
      <w:r>
        <w:t xml:space="preserve"> </w:t>
      </w:r>
      <w:r>
        <w:t>maintain</w:t>
      </w:r>
      <w:r>
        <w:t xml:space="preserve"> </w:t>
      </w:r>
      <w:r>
        <w:t xml:space="preserve">the existing </w:t>
      </w:r>
      <w:r>
        <w:t>Subscribed Charging Characteristics</w:t>
      </w:r>
      <w:r>
        <w:t xml:space="preserve"> </w:t>
      </w:r>
      <w:r>
        <w:t>throughout the lifetime of the existing IP CAN bearer,</w:t>
      </w:r>
      <w:r>
        <w:t xml:space="preserve"> see </w:t>
      </w:r>
      <w:r>
        <w:t>3GPP TS 3</w:t>
      </w:r>
      <w:r>
        <w:t>2.251</w:t>
      </w:r>
      <w:r>
        <w:t xml:space="preserve"> [</w:t>
      </w:r>
      <w:r>
        <w:t>33]</w:t>
      </w:r>
      <w:r>
        <w:t>.</w:t>
      </w:r>
    </w:p>
    <w:p>
      <w:r>
        <w:t xml:space="preserve">If the </w:t>
      </w:r>
      <w:r>
        <w:t>MSISDN</w:t>
      </w:r>
      <w:r>
        <w:t xml:space="preserve"> is deleted from the subscription data, the MME or SGSN shall maintain the existing </w:t>
      </w:r>
      <w:r>
        <w:t>MSISDN</w:t>
      </w:r>
      <w:r>
        <w:t xml:space="preserve"> </w:t>
      </w:r>
      <w:r>
        <w:t>throughout the lifetime of the existing PDN connections that were established prior to the deletion of the MSISDN (i.e., other network nodes, such as PDN-GW, are not informed of such deletion for the existing PDN connections)</w:t>
      </w:r>
      <w:r>
        <w:t>.</w:t>
      </w:r>
      <w:r>
        <w:t xml:space="preserve"> </w:t>
      </w:r>
      <w:r>
        <w:t>The MME/SGSN shall also delete those monitoring events related to the deleted MSISDN.</w:t>
      </w:r>
    </w:p>
    <w:p>
      <w:r>
        <w:t>If</w:t>
      </w:r>
      <w:r>
        <w:t xml:space="preserve"> the MME </w:t>
      </w:r>
      <w:r>
        <w:t>or SGSN</w:t>
      </w:r>
      <w:r>
        <w:t xml:space="preserve"> cannot fulfil </w:t>
      </w:r>
      <w:r>
        <w:t xml:space="preserve">the </w:t>
      </w:r>
      <w:r>
        <w:t xml:space="preserve">received request for other reasons, e.g. due to </w:t>
      </w:r>
      <w:r>
        <w:t xml:space="preserve">a </w:t>
      </w:r>
      <w:r>
        <w:t xml:space="preserve">database error, it shall set </w:t>
      </w:r>
      <w:r>
        <w:t xml:space="preserve">the </w:t>
      </w:r>
      <w:r>
        <w:t xml:space="preserve">Result-Code to DIAMETER_UNABLE_TO_COMPLY. </w:t>
      </w:r>
      <w:r>
        <w:t>In this case</w:t>
      </w:r>
      <w:r>
        <w:t>,</w:t>
      </w:r>
      <w:r>
        <w:t xml:space="preserve"> the MME or SGSN shall mark the subscription record "</w:t>
      </w:r>
      <w:r>
        <w:t>Subscriber to be restored in HSS</w:t>
      </w:r>
      <w:r>
        <w:t>"</w:t>
      </w:r>
      <w:r>
        <w:t>.</w:t>
      </w:r>
    </w:p>
    <w:p>
      <w:r>
        <w:t>If trace data are deleted from the subscription data, the MME or SGSN shall deactivate</w:t>
      </w:r>
      <w:r>
        <w:t xml:space="preserve"> the Trace Session</w:t>
      </w:r>
      <w:r>
        <w:t xml:space="preserve"> identified by the trace reference. </w:t>
      </w:r>
      <w:r>
        <w:t>For details</w:t>
      </w:r>
      <w:r>
        <w:t>,</w:t>
      </w:r>
      <w:r>
        <w:t xml:space="preserve"> see 3GPP TS 3</w:t>
      </w:r>
      <w:r>
        <w:t>2</w:t>
      </w:r>
      <w:r>
        <w:t>.4</w:t>
      </w:r>
      <w:r>
        <w:t>22 [</w:t>
      </w:r>
      <w:r>
        <w:t>23].</w:t>
      </w:r>
    </w:p>
    <w:p>
      <w:r>
        <w:t xml:space="preserve">If External Identifiers are requested to be deleted from the subscription data, the MME/SGSN shall check whether any of the identifiers to be deleted match the default External-Identifier provided by HSS in the Subscrition-Data AVP (unless all External Identifiers are requested to be deleted from the subscription); in such case, the MME/SGSN shall reject the request and </w:t>
      </w:r>
      <w:r>
        <w:t xml:space="preserve">return an error with a </w:t>
      </w:r>
      <w:r>
        <w:t xml:space="preserve">Result-Code set to DIAMETER_UNABLE_TO_COMPLY (if default External Identifier is wanted to be deleted, no External Identifier must be provided in the request). </w:t>
      </w:r>
      <w:r>
        <w:t>The MME/SGSN shall also delete those monitoring events related to the deleted External Identifiers, or all monitoring events associated to any External Identifier if default External Identifier is deleted.</w:t>
      </w:r>
    </w:p>
    <w:p>
      <w:pPr>
        <w:pStyle w:val="Heading3"/>
      </w:pPr>
      <w:r>
        <w:t>5</w:t>
      </w:r>
      <w:r>
        <w:t>.2.2</w:t>
      </w:r>
      <w:r>
        <w:t>.2.3</w:t>
      </w:r>
      <w:r>
        <w:tab/>
      </w:r>
      <w:r>
        <w:t xml:space="preserve">Detailed behaviour of </w:t>
      </w:r>
      <w:r>
        <w:t xml:space="preserve">the </w:t>
      </w:r>
      <w:r>
        <w:t>HSS</w:t>
      </w:r>
    </w:p>
    <w:p>
      <w:r>
        <w:t>The HSS shall make use of this procedure to remove deleted subscription data from the MME</w:t>
      </w:r>
      <w:r>
        <w:t xml:space="preserve"> or SGSN</w:t>
      </w:r>
      <w:r>
        <w:t>.</w:t>
      </w:r>
    </w:p>
    <w:p>
      <w:r>
        <w:t xml:space="preserve">The HSS shall make use of this procedure to remove deleted GPRS Subscription Data from the </w:t>
      </w:r>
      <w:r>
        <w:t>SGSN</w:t>
      </w:r>
      <w:r>
        <w:t xml:space="preserve"> or combined MME/SGSN 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MME.</w:t>
      </w:r>
    </w:p>
    <w:p>
      <w:r>
        <w:t>The HSS shall not set the "Complete</w:t>
      </w:r>
      <w:r>
        <w:t xml:space="preserve"> </w:t>
      </w:r>
      <w:r>
        <w:t>APN</w:t>
      </w:r>
      <w:r>
        <w:t xml:space="preserve"> </w:t>
      </w:r>
      <w:r>
        <w:t>Configuration</w:t>
      </w:r>
      <w:r>
        <w:t xml:space="preserve"> </w:t>
      </w:r>
      <w:r>
        <w:t>Profile</w:t>
      </w:r>
      <w:r>
        <w:t xml:space="preserve"> </w:t>
      </w:r>
      <w:r>
        <w:t>Withdraw</w:t>
      </w:r>
      <w:r>
        <w:t>al</w:t>
      </w:r>
      <w:r>
        <w:t xml:space="preserve">" bit in the DSR-Flags AVP </w:t>
      </w:r>
      <w:r>
        <w:t>when sending a Delete Subscriber Data Request to an MME, since the default APN shall always be present in an MME.</w:t>
      </w:r>
    </w:p>
    <w:p>
      <w:r>
        <w:t xml:space="preserve">When receiving a Delete Subscriber Data Answer with "SGSN Area Restricted" the HSS shall set the </w:t>
      </w:r>
      <w:r>
        <w:t>SGSN</w:t>
      </w:r>
      <w:r>
        <w:t xml:space="preserve"> area restricted flag</w:t>
      </w:r>
      <w:r>
        <w:t xml:space="preserve"> as "SGSN</w:t>
      </w:r>
      <w:r>
        <w:t xml:space="preserve"> area restricted</w:t>
      </w:r>
      <w:r>
        <w:t>"</w:t>
      </w:r>
      <w:r>
        <w:t>.</w:t>
      </w:r>
    </w:p>
    <w:p/>
    <w:p>
      <w:r>
        <w:rPr>
          <w:b/>
          <w:sz w:val="28"/>
        </w:rPr>
        <w:t>AVP Path Definitions</w:t>
      </w:r>
    </w:p>
    <w:p/>
    <w:p>
      <w:r>
        <w:rPr>
          <w:b/>
          <w:color w:val="000080"/>
          <w:sz w:val="24"/>
        </w:rPr>
        <w:t>[0]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