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Tracking-Area-Identity</w:t>
        <w:br/>
      </w:r>
      <w:r>
        <w:rPr>
          <w:b/>
        </w:rPr>
        <w:t xml:space="preserve">Message: </w:t>
      </w:r>
      <w:r>
        <w:t>Purge UE Request (PUR)</w:t>
        <w:br/>
      </w:r>
      <w:r>
        <w:rPr>
          <w:b/>
        </w:rPr>
        <w:t xml:space="preserve">Extraction Date: </w:t>
      </w:r>
      <w:r>
        <w:t>2026-03-10 13:50:52</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Tracking-Area-Identity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Tracking-Area-Identity</w:t>
      </w:r>
    </w:p>
    <w:p/>
    <w:p>
      <w:pPr>
        <w:pStyle w:val="Heading3"/>
      </w:pPr>
      <w:r>
        <w:t>7.3.</w:t>
      </w:r>
      <w:r>
        <w:t>118</w:t>
      </w:r>
      <w:r>
        <w:tab/>
      </w:r>
      <w:r>
        <w:t>Tracking-Area-Identity</w:t>
      </w:r>
    </w:p>
    <w:p>
      <w:r>
        <w:t xml:space="preserve">The </w:t>
      </w:r>
      <w:r>
        <w:t>Tracking-Area-Identity</w:t>
      </w:r>
      <w:r>
        <w:t xml:space="preserve"> </w:t>
      </w:r>
      <w:r>
        <w:t xml:space="preserve">AVP is of type OctetString and </w:t>
      </w:r>
      <w:r>
        <w:t xml:space="preserve">shall </w:t>
      </w:r>
      <w:r>
        <w:t xml:space="preserve">contain the </w:t>
      </w:r>
      <w:r>
        <w:t xml:space="preserve">Tracking Area Identity of the user which identifies the tracking area where the user is located, </w:t>
      </w:r>
      <w:r>
        <w:t xml:space="preserve">as specified in </w:t>
      </w:r>
      <w:r>
        <w:t>3GPP TS 2</w:t>
      </w:r>
      <w:r>
        <w:t>3.003</w:t>
      </w:r>
      <w:r>
        <w:t xml:space="preserve"> [</w:t>
      </w:r>
      <w:r>
        <w:t>3]</w:t>
      </w:r>
      <w:r>
        <w:t>.</w:t>
      </w:r>
      <w:r>
        <w:t xml:space="preserve"> </w:t>
      </w:r>
      <w:r>
        <w:t xml:space="preserve">Octets are coded as described in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