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3GPP-Charging-Characteristics</w:t>
        <w:br/>
      </w:r>
      <w:r>
        <w:rPr>
          <w:b/>
        </w:rPr>
        <w:t xml:space="preserve">Message: </w:t>
      </w:r>
      <w:r>
        <w:t>Update Location Answer (ULA)</w:t>
        <w:br/>
      </w:r>
      <w:r>
        <w:rPr>
          <w:b/>
        </w:rPr>
        <w:t xml:space="preserve">Extraction Date: </w:t>
      </w:r>
      <w:r>
        <w:t>2026-03-10 13:55:55</w:t>
      </w:r>
    </w:p>
    <w:p/>
    <w:p>
      <w:r>
        <w:rPr>
          <w:b/>
          <w:sz w:val="24"/>
        </w:rPr>
        <w:t>AVP Path:</w:t>
      </w:r>
    </w:p>
    <w:p/>
    <w:p>
      <w:r>
        <w:t>[Level 0] Subscription-Data</w:t>
      </w:r>
      <w:r>
        <w:rPr>
          <w:color w:val="808080"/>
        </w:rPr>
        <w:t xml:space="preserve"> (Grouped AVP)</w:t>
      </w:r>
    </w:p>
    <w:p>
      <w:r>
        <w:t xml:space="preserve">   → [Level 1] 3GPP-Charging-Characteristics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