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VPLMN-Dynamic-Address-Allowed</w:t>
        <w:br/>
      </w:r>
      <w:r>
        <w:rPr>
          <w:b/>
        </w:rPr>
        <w:t xml:space="preserve">Message: </w:t>
      </w:r>
      <w:r>
        <w:t>Insert Subscriber Data Request (IDR)</w:t>
        <w:br/>
      </w:r>
      <w:r>
        <w:rPr>
          <w:b/>
        </w:rPr>
        <w:t xml:space="preserve">Extraction Date: </w:t>
      </w:r>
      <w:r>
        <w:t>2026-03-10 13:46:01</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VPLMN-Dynamic-Address-Allowed</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7.2.9</w:t>
      </w:r>
      <w:r>
        <w:tab/>
        <w:t>Insert-Subscriber-Data-Request (IDR) Command</w:t>
      </w:r>
    </w:p>
    <w:p>
      <w:r>
        <w:t>The Insert-Subscriber-Data-Request (IDR) command, indicated by the Command-Code field set to 319 and the 'R' bit set in the Command Flags field, is sent from HSS or CSS  to MME or SGSN.</w:t>
      </w:r>
    </w:p>
    <w:p>
      <w:r>
        <w:t>Message Format when used over the S6a or S6d application:</w:t>
      </w:r>
    </w:p>
    <w:p>
      <w:r>
        <w:t>&lt; Insert-Subscriber-Data-Request&gt; ::=</w:t>
      </w:r>
      <w:r>
        <w:tab/>
      </w:r>
      <w:r>
        <w:t>&lt; Diameter Header: 319,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w:t>
      </w:r>
      <w:r>
        <w:t xml:space="preserve"> </w:t>
      </w:r>
      <w:r>
        <w:t>]</w:t>
      </w:r>
    </w:p>
    <w:p>
      <w:r>
        <w:t>{ Subscription</w:t>
      </w:r>
      <w:r>
        <w:t>-</w:t>
      </w:r>
      <w:r>
        <w:t>Data</w:t>
      </w:r>
      <w:r>
        <w:t xml:space="preserve"> </w:t>
      </w:r>
      <w:r>
        <w:t>}</w:t>
      </w:r>
    </w:p>
    <w:p>
      <w:r>
        <w:t>[ IDR- Flags ]</w:t>
      </w:r>
    </w:p>
    <w:p>
      <w:r>
        <w:t>*[ Reset-ID ]</w:t>
      </w:r>
    </w:p>
    <w:p>
      <w:r>
        <w:t>*[ AVP ]</w:t>
      </w:r>
    </w:p>
    <w:p>
      <w:r>
        <w:t>*[ Proxy-Info ]</w:t>
      </w:r>
    </w:p>
    <w:p>
      <w:r>
        <w:t>*[ Route-Record ]</w:t>
      </w:r>
    </w:p>
    <w:p>
      <w:r/>
    </w:p>
    <w:p>
      <w:r>
        <w:t>Message Format when used over the S7a or S7d application:</w:t>
      </w:r>
    </w:p>
    <w:p>
      <w:r>
        <w:t>&lt; Insert-Subscriber-Data-Request&gt; ::=</w:t>
      </w:r>
      <w:r>
        <w:tab/>
      </w:r>
      <w:r>
        <w:t>&lt; Diameter Header: 319,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 ]</w:t>
      </w:r>
    </w:p>
    <w:p>
      <w:r>
        <w:t>*{ VPLMN-CSG-Subscription</w:t>
      </w:r>
      <w:r>
        <w:t>-</w:t>
      </w:r>
      <w:r>
        <w:t>Data }</w:t>
      </w:r>
    </w:p>
    <w:p>
      <w:r>
        <w:t>*[ Reset-ID ]</w:t>
      </w:r>
    </w:p>
    <w:p>
      <w:r>
        <w:t>*[ 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VPLMN-Dynamic-Address-Allowed</w:t>
      </w:r>
    </w:p>
    <w:p/>
    <w:p>
      <w:pPr>
        <w:pStyle w:val="Heading3"/>
      </w:pPr>
      <w:r>
        <w:t>7.3.38</w:t>
      </w:r>
      <w:r>
        <w:tab/>
        <w:t>VPLMN-Dynamic-Address-Allowed</w:t>
      </w:r>
    </w:p>
    <w:p>
      <w:r>
        <w:t xml:space="preserve">The VPLMN-Dynamic-Address-Allowed AVP is of type Enumerated. It </w:t>
      </w:r>
      <w:r>
        <w:t xml:space="preserve">shall </w:t>
      </w:r>
      <w:r>
        <w:t xml:space="preserve">indicate whether </w:t>
      </w:r>
      <w:r>
        <w:t>for this APN</w:t>
      </w:r>
      <w:r>
        <w:t>,</w:t>
      </w:r>
      <w:r>
        <w:t xml:space="preserve"> </w:t>
      </w:r>
      <w:r>
        <w:t xml:space="preserve">the UE is allowed to use the PDN GW in the domain of the HPLMN only, or additionally, the PDN GW in the domain of the VPLMN.. If this AVP is not present, this means that the UE is not allowed to use </w:t>
      </w:r>
      <w:r>
        <w:t>PDN GWs in the domain of the VPLMN</w:t>
      </w:r>
      <w:r>
        <w:t>. The following values are defined:</w:t>
      </w:r>
    </w:p>
    <w:p>
      <w:r>
        <w:t>NOTALLOWED (0)</w:t>
      </w:r>
    </w:p>
    <w:p>
      <w:r>
        <w:t>ALLOWED (1)</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