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SCEF-ID</w:t>
        <w:br/>
      </w:r>
      <w:r>
        <w:rPr>
          <w:b/>
        </w:rPr>
        <w:t xml:space="preserve">Message: </w:t>
      </w:r>
      <w:r>
        <w:t>Reset Request (RSR)</w:t>
        <w:br/>
      </w:r>
      <w:r>
        <w:rPr>
          <w:b/>
        </w:rPr>
        <w:t xml:space="preserve">Extraction Date: </w:t>
      </w:r>
      <w:r>
        <w:t>2026-03-10 13:54:30</w:t>
      </w:r>
    </w:p>
    <w:p/>
    <w:p>
      <w:r>
        <w:rPr>
          <w:b/>
          <w:sz w:val="24"/>
        </w:rPr>
        <w:t>AVP Path:</w:t>
      </w:r>
    </w:p>
    <w:p/>
    <w:p>
      <w:r>
        <w:t>[Level 0] Subscription-Data-Deletion</w:t>
      </w:r>
      <w:r>
        <w:rPr>
          <w:color w:val="808080"/>
        </w:rPr>
        <w:t xml:space="preserve"> (Grouped AVP)</w:t>
      </w:r>
    </w:p>
    <w:p>
      <w:r>
        <w:t xml:space="preserve">   → [Level 1] SCEF-ID</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7.2.15</w:t>
      </w:r>
      <w:r>
        <w:tab/>
        <w:t>Reset-Request (RSR) Command</w:t>
      </w:r>
    </w:p>
    <w:p>
      <w:r>
        <w:t>The Reset-Request (RSR) command, indicated by the Command-Code field set to 322 and the 'R' bit set in the Command Flags field, is sent from HSS or CSS to MME</w:t>
      </w:r>
      <w:r>
        <w:t xml:space="preserve"> or SGSN</w:t>
      </w:r>
      <w:r>
        <w:t>.</w:t>
      </w:r>
    </w:p>
    <w:p>
      <w:r>
        <w:t>Message Format when used over the S6a/S6d application:</w:t>
      </w:r>
    </w:p>
    <w:p>
      <w:r>
        <w:t>&lt; Reset-Request&gt; ::=</w:t>
      </w:r>
      <w:r>
        <w:tab/>
      </w:r>
      <w:r>
        <w:t>&lt; Diameter Header: 322,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User-Id ]</w:t>
      </w:r>
    </w:p>
    <w:p>
      <w:r>
        <w:t>*[ Reset-ID ]</w:t>
      </w:r>
    </w:p>
    <w:p>
      <w:r>
        <w:t>[ Subscription-Data ]</w:t>
      </w:r>
    </w:p>
    <w:p>
      <w:r>
        <w:t>[ Subscription-Data-Deletion ]</w:t>
      </w:r>
    </w:p>
    <w:p>
      <w:r>
        <w:t>*[ AVP ]</w:t>
      </w:r>
    </w:p>
    <w:p>
      <w:r>
        <w:t>*[ Proxy-Info ]</w:t>
      </w:r>
    </w:p>
    <w:p>
      <w:r>
        <w:t>*[ Route-Record ]</w:t>
      </w:r>
    </w:p>
    <w:p>
      <w:r/>
    </w:p>
    <w:p>
      <w:r>
        <w:t>Message Format when used over the S7a /S7d application:</w:t>
      </w:r>
    </w:p>
    <w:p>
      <w:r>
        <w:t>&lt; Reset-Request&gt; ::=</w:t>
      </w:r>
      <w:r>
        <w:tab/>
      </w:r>
      <w:r>
        <w:t>&lt; Diameter Header: 322,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Reset-ID ]</w:t>
      </w:r>
    </w:p>
    <w:p>
      <w:r>
        <w:t>*[ AVP ]</w:t>
      </w:r>
    </w:p>
    <w:p>
      <w:r>
        <w:t>*[ Proxy-Info ]</w:t>
      </w:r>
    </w:p>
    <w:p>
      <w:r>
        <w:t>*[ Route-Record ]</w:t>
      </w:r>
    </w:p>
    <w:p>
      <w:r/>
    </w:p>
    <w:p/>
    <w:p>
      <w:r>
        <w:rPr>
          <w:b/>
          <w:sz w:val="28"/>
        </w:rPr>
        <w:t>Message Procedure/Behavior</w:t>
      </w:r>
    </w:p>
    <w:p/>
    <w:p>
      <w:pPr>
        <w:pStyle w:val="Heading4"/>
      </w:pPr>
      <w:r>
        <w:t>5.2.4.1</w:t>
      </w:r>
      <w:r>
        <w:tab/>
        <w:t>Reset</w:t>
      </w:r>
    </w:p>
    <w:p>
      <w:pPr>
        <w:pStyle w:val="Heading3"/>
      </w:pPr>
      <w:r>
        <w:t>5.2.4.1.1</w:t>
      </w:r>
      <w:r>
        <w:tab/>
        <w:t>General</w:t>
      </w:r>
    </w:p>
    <w:p>
      <w:r>
        <w:t xml:space="preserve">The Reset Procedure </w:t>
      </w:r>
      <w:r>
        <w:t>shall be</w:t>
      </w:r>
      <w:r>
        <w:t xml:space="preserve"> </w:t>
      </w:r>
      <w:r>
        <w:t>used by the HSS, after a restart, to indicate to the MME and to the SGSN</w:t>
      </w:r>
      <w:r>
        <w:t xml:space="preserve"> </w:t>
      </w:r>
      <w:r>
        <w:t>that a failure has occurred.</w:t>
      </w:r>
    </w:p>
    <w:p>
      <w:r>
        <w:t>The Reset Procedure may also be used by the HSS as part of operation and maintenance actions e.g. to allow planned HSS outage without service interruption, or to update subscription data shared by multiple subscribers.</w:t>
      </w:r>
    </w:p>
    <w:p>
      <w:r>
        <w:t xml:space="preserve">This procedure is mapped to the commands Reset-Request/Answer (RSR/RSA) in the Diameter application specified in </w:t>
      </w:r>
      <w:r>
        <w:t>clause</w:t>
      </w:r>
      <w:r>
        <w:t xml:space="preserve"> 7.</w:t>
      </w:r>
    </w:p>
    <w:p>
      <w:r>
        <w:t>Table 5.2.4.1.1/1 specifies the involved information elements for the request.</w:t>
      </w:r>
    </w:p>
    <w:p>
      <w:r>
        <w:t>Table 5.2.4.1.1/2 specifies the involved information elements for the answer.</w:t>
      </w:r>
    </w:p>
    <w:p>
      <w:r>
        <w:t>Table 5.2.4.1.1/1: Reset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237"/>
      </w:tblGrid>
      <w:tr w:rsidR="009D4C7F" w:rsidRPr="00C139B4" w14:paraId="795FFEA8" w14:textId="77777777" w:rsidTr="002B6321">
        <w:trPr>
          <w:jc w:val="center"/>
        </w:trPr>
        <w:tc>
          <w:tcPr>
            <w:tcW w:w="1418" w:type="dxa"/>
            <w:tcBorders>
              <w:top w:val="single" w:sz="12" w:space="0" w:color="auto"/>
            </w:tcBorders>
          </w:tcPr>
          <w:p w14:paraId="36AB7848" w14:textId="77777777" w:rsidR="009D4C7F" w:rsidRPr="00C139B4" w:rsidRDefault="009D4C7F" w:rsidP="002B6321">
            <w:pPr>
              <w:pStyle w:val="TAH"/>
            </w:pPr>
            <w:r w:rsidRPr="00C139B4">
              <w:t>Information element name</w:t>
            </w:r>
          </w:p>
        </w:tc>
        <w:tc>
          <w:tcPr>
            <w:tcW w:w="1416" w:type="dxa"/>
            <w:tcBorders>
              <w:top w:val="single" w:sz="12" w:space="0" w:color="auto"/>
            </w:tcBorders>
          </w:tcPr>
          <w:p w14:paraId="6B3229EF" w14:textId="77777777" w:rsidR="009D4C7F" w:rsidRPr="00C139B4" w:rsidRDefault="009D4C7F" w:rsidP="002B6321">
            <w:pPr>
              <w:pStyle w:val="TAH"/>
            </w:pPr>
            <w:r w:rsidRPr="00C139B4">
              <w:t>Mapping to Diameter AVP</w:t>
            </w:r>
          </w:p>
        </w:tc>
        <w:tc>
          <w:tcPr>
            <w:tcW w:w="603" w:type="dxa"/>
            <w:tcBorders>
              <w:top w:val="single" w:sz="12" w:space="0" w:color="auto"/>
            </w:tcBorders>
          </w:tcPr>
          <w:p w14:paraId="7E7FB679" w14:textId="77777777" w:rsidR="009D4C7F" w:rsidRPr="00C139B4" w:rsidRDefault="009D4C7F" w:rsidP="002B6321">
            <w:pPr>
              <w:pStyle w:val="TAH"/>
              <w:rPr>
                <w:lang w:val="fr-FR"/>
              </w:rPr>
            </w:pPr>
            <w:r w:rsidRPr="00C139B4">
              <w:rPr>
                <w:lang w:val="fr-FR"/>
              </w:rPr>
              <w:t>Cat.</w:t>
            </w:r>
          </w:p>
        </w:tc>
        <w:tc>
          <w:tcPr>
            <w:tcW w:w="6237" w:type="dxa"/>
            <w:tcBorders>
              <w:top w:val="single" w:sz="12" w:space="0" w:color="auto"/>
            </w:tcBorders>
          </w:tcPr>
          <w:p w14:paraId="04883B85" w14:textId="77777777" w:rsidR="009D4C7F" w:rsidRPr="00C139B4" w:rsidRDefault="009D4C7F" w:rsidP="002B6321">
            <w:pPr>
              <w:pStyle w:val="TAH"/>
              <w:rPr>
                <w:lang w:val="fr-FR"/>
              </w:rPr>
            </w:pPr>
            <w:r w:rsidRPr="00C139B4">
              <w:rPr>
                <w:lang w:val="fr-FR"/>
              </w:rPr>
              <w:t>Description</w:t>
            </w:r>
          </w:p>
        </w:tc>
      </w:tr>
      <w:tr w:rsidR="009D4C7F" w:rsidRPr="00C139B4" w14:paraId="3B0506A3" w14:textId="77777777" w:rsidTr="002B6321">
        <w:trPr>
          <w:trHeight w:val="401"/>
          <w:jc w:val="center"/>
        </w:trPr>
        <w:tc>
          <w:tcPr>
            <w:tcW w:w="1418" w:type="dxa"/>
          </w:tcPr>
          <w:p w14:paraId="72B96CB6" w14:textId="77777777" w:rsidR="009D4C7F" w:rsidRPr="00C139B4" w:rsidRDefault="009D4C7F" w:rsidP="002B6321">
            <w:pPr>
              <w:pStyle w:val="TAL"/>
            </w:pPr>
            <w:r w:rsidRPr="00C139B4">
              <w:t>User Id List</w:t>
            </w:r>
          </w:p>
          <w:p w14:paraId="4E8C81B8" w14:textId="77777777" w:rsidR="009D4C7F" w:rsidRPr="00C139B4" w:rsidRDefault="009D4C7F" w:rsidP="002B6321">
            <w:pPr>
              <w:pStyle w:val="TAL"/>
            </w:pPr>
            <w:r w:rsidRPr="00C139B4">
              <w:t>(See 7.3.50)</w:t>
            </w:r>
          </w:p>
        </w:tc>
        <w:tc>
          <w:tcPr>
            <w:tcW w:w="1416" w:type="dxa"/>
          </w:tcPr>
          <w:p w14:paraId="7F595691" w14:textId="77777777" w:rsidR="009D4C7F" w:rsidRPr="00C139B4" w:rsidRDefault="009D4C7F" w:rsidP="002B6321">
            <w:pPr>
              <w:pStyle w:val="TAL"/>
              <w:rPr>
                <w:lang w:val="en-US"/>
              </w:rPr>
            </w:pPr>
            <w:r w:rsidRPr="00C139B4">
              <w:rPr>
                <w:lang w:val="en-US"/>
              </w:rPr>
              <w:t xml:space="preserve">User-Id </w:t>
            </w:r>
          </w:p>
        </w:tc>
        <w:tc>
          <w:tcPr>
            <w:tcW w:w="603" w:type="dxa"/>
          </w:tcPr>
          <w:p w14:paraId="215AFA01" w14:textId="77777777" w:rsidR="009D4C7F" w:rsidRPr="00C139B4" w:rsidRDefault="009D4C7F" w:rsidP="002B6321">
            <w:pPr>
              <w:pStyle w:val="TAC"/>
            </w:pPr>
            <w:r w:rsidRPr="00C139B4">
              <w:t>O</w:t>
            </w:r>
          </w:p>
        </w:tc>
        <w:tc>
          <w:tcPr>
            <w:tcW w:w="6237" w:type="dxa"/>
          </w:tcPr>
          <w:p w14:paraId="3A35BF9F" w14:textId="77777777" w:rsidR="009D4C7F" w:rsidRPr="00C139B4" w:rsidRDefault="009D4C7F" w:rsidP="002B6321">
            <w:pPr>
              <w:pStyle w:val="TAL"/>
            </w:pPr>
            <w:r w:rsidRPr="00C139B4">
              <w:t>This IE shall contain a list of User-Ids where a User-Id comprises the leading digits of an IMSI (i.e. MCC, MNC, leading digits of MSIN) and it shall identify the set of subscribers whose IMSIs begin with the User-Id. The HSS may include this information element if the occurred failure is limited to subscribers identified by one or more User-Ids.</w:t>
            </w:r>
          </w:p>
        </w:tc>
      </w:tr>
      <w:tr w:rsidR="009D4C7F" w:rsidRPr="00C139B4" w14:paraId="7308F2BD" w14:textId="77777777" w:rsidTr="002B6321">
        <w:trPr>
          <w:trHeight w:val="401"/>
          <w:jc w:val="center"/>
        </w:trPr>
        <w:tc>
          <w:tcPr>
            <w:tcW w:w="1418" w:type="dxa"/>
          </w:tcPr>
          <w:p w14:paraId="4ADC66D1" w14:textId="77777777" w:rsidR="009D4C7F" w:rsidRPr="00C139B4" w:rsidRDefault="009D4C7F" w:rsidP="002B6321">
            <w:pPr>
              <w:pStyle w:val="TAL"/>
            </w:pPr>
            <w:r w:rsidRPr="00C139B4">
              <w:t>Supported Features</w:t>
            </w:r>
          </w:p>
          <w:p w14:paraId="04614455"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6" w:type="dxa"/>
          </w:tcPr>
          <w:p w14:paraId="228733A4" w14:textId="77777777" w:rsidR="009D4C7F" w:rsidRPr="00C139B4" w:rsidRDefault="009D4C7F" w:rsidP="002B6321">
            <w:pPr>
              <w:pStyle w:val="TAL"/>
              <w:rPr>
                <w:lang w:val="en-US"/>
              </w:rPr>
            </w:pPr>
            <w:r w:rsidRPr="00C139B4">
              <w:t>Supported-Features</w:t>
            </w:r>
          </w:p>
        </w:tc>
        <w:tc>
          <w:tcPr>
            <w:tcW w:w="603" w:type="dxa"/>
          </w:tcPr>
          <w:p w14:paraId="37D4EE59" w14:textId="77777777" w:rsidR="009D4C7F" w:rsidRPr="00C139B4" w:rsidRDefault="009D4C7F" w:rsidP="002B6321">
            <w:pPr>
              <w:pStyle w:val="TAC"/>
            </w:pPr>
            <w:r w:rsidRPr="00C139B4">
              <w:t>O</w:t>
            </w:r>
          </w:p>
        </w:tc>
        <w:tc>
          <w:tcPr>
            <w:tcW w:w="6237" w:type="dxa"/>
          </w:tcPr>
          <w:p w14:paraId="7EC8A904"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78A1E576"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39553944" w14:textId="77777777" w:rsidR="009D4C7F" w:rsidRPr="00C139B4" w:rsidRDefault="009D4C7F" w:rsidP="002B6321">
            <w:pPr>
              <w:pStyle w:val="TAL"/>
            </w:pPr>
            <w:r w:rsidRPr="00C139B4">
              <w:t>Reset-IDs</w:t>
            </w:r>
          </w:p>
          <w:p w14:paraId="1582C23E" w14:textId="77777777" w:rsidR="009D4C7F" w:rsidRPr="00C139B4" w:rsidRDefault="009D4C7F" w:rsidP="002B6321">
            <w:pPr>
              <w:pStyle w:val="TAL"/>
            </w:pPr>
            <w:r w:rsidRPr="00C139B4">
              <w:t>(See 7.3.184)</w:t>
            </w:r>
          </w:p>
        </w:tc>
        <w:tc>
          <w:tcPr>
            <w:tcW w:w="1416" w:type="dxa"/>
            <w:tcBorders>
              <w:top w:val="single" w:sz="6" w:space="0" w:color="auto"/>
              <w:left w:val="single" w:sz="6" w:space="0" w:color="auto"/>
              <w:bottom w:val="single" w:sz="6" w:space="0" w:color="auto"/>
              <w:right w:val="single" w:sz="6" w:space="0" w:color="auto"/>
            </w:tcBorders>
          </w:tcPr>
          <w:p w14:paraId="54628483" w14:textId="77777777" w:rsidR="009D4C7F" w:rsidRPr="00C139B4" w:rsidRDefault="009D4C7F" w:rsidP="002B6321">
            <w:pPr>
              <w:pStyle w:val="TAL"/>
            </w:pPr>
            <w:r w:rsidRPr="00C139B4">
              <w:t>Reset-ID</w:t>
            </w:r>
          </w:p>
        </w:tc>
        <w:tc>
          <w:tcPr>
            <w:tcW w:w="603" w:type="dxa"/>
            <w:tcBorders>
              <w:top w:val="single" w:sz="6" w:space="0" w:color="auto"/>
              <w:left w:val="single" w:sz="6" w:space="0" w:color="auto"/>
              <w:bottom w:val="single" w:sz="6" w:space="0" w:color="auto"/>
              <w:right w:val="single" w:sz="6" w:space="0" w:color="auto"/>
            </w:tcBorders>
          </w:tcPr>
          <w:p w14:paraId="62827413"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41ABD89D" w14:textId="77777777" w:rsidR="009D4C7F" w:rsidRPr="00C139B4" w:rsidRDefault="009D4C7F" w:rsidP="002B6321">
            <w:pPr>
              <w:pStyle w:val="TAL"/>
            </w:pPr>
            <w:r w:rsidRPr="00C139B4">
              <w:t xml:space="preserve">If present, this information element identifies the set of impacted subscribers. </w:t>
            </w:r>
          </w:p>
        </w:tc>
      </w:tr>
      <w:tr w:rsidR="009D4C7F" w:rsidRPr="00C139B4" w14:paraId="5ADDCFEA"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75ECC551" w14:textId="77777777" w:rsidR="009D4C7F" w:rsidRPr="00C139B4" w:rsidRDefault="009D4C7F" w:rsidP="002B6321">
            <w:pPr>
              <w:pStyle w:val="TAL"/>
            </w:pPr>
            <w:r w:rsidRPr="00C139B4">
              <w:t>Subscription Data</w:t>
            </w:r>
          </w:p>
          <w:p w14:paraId="175AB288" w14:textId="77777777" w:rsidR="009D4C7F" w:rsidRPr="00C139B4" w:rsidRDefault="009D4C7F" w:rsidP="002B6321">
            <w:pPr>
              <w:pStyle w:val="TAL"/>
            </w:pPr>
            <w:r w:rsidRPr="00C139B4">
              <w:t>(See 7.3.2)</w:t>
            </w:r>
          </w:p>
        </w:tc>
        <w:tc>
          <w:tcPr>
            <w:tcW w:w="1416" w:type="dxa"/>
            <w:tcBorders>
              <w:top w:val="single" w:sz="6" w:space="0" w:color="auto"/>
              <w:left w:val="single" w:sz="6" w:space="0" w:color="auto"/>
              <w:bottom w:val="single" w:sz="6" w:space="0" w:color="auto"/>
              <w:right w:val="single" w:sz="6" w:space="0" w:color="auto"/>
            </w:tcBorders>
          </w:tcPr>
          <w:p w14:paraId="0D7FD9DC" w14:textId="77777777" w:rsidR="009D4C7F" w:rsidRPr="00C139B4" w:rsidRDefault="009D4C7F" w:rsidP="002B6321">
            <w:pPr>
              <w:pStyle w:val="TAL"/>
            </w:pPr>
            <w:r w:rsidRPr="00C139B4">
              <w:t xml:space="preserve">Subscription-Data </w:t>
            </w:r>
          </w:p>
        </w:tc>
        <w:tc>
          <w:tcPr>
            <w:tcW w:w="603" w:type="dxa"/>
            <w:tcBorders>
              <w:top w:val="single" w:sz="6" w:space="0" w:color="auto"/>
              <w:left w:val="single" w:sz="6" w:space="0" w:color="auto"/>
              <w:bottom w:val="single" w:sz="6" w:space="0" w:color="auto"/>
              <w:right w:val="single" w:sz="6" w:space="0" w:color="auto"/>
            </w:tcBorders>
          </w:tcPr>
          <w:p w14:paraId="7CD58736"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26B12EF6" w14:textId="77777777" w:rsidR="009D4C7F" w:rsidRPr="00C139B4" w:rsidRDefault="009D4C7F" w:rsidP="002B6321">
            <w:pPr>
              <w:pStyle w:val="TAL"/>
            </w:pPr>
            <w:r w:rsidRPr="00C139B4">
              <w:t xml:space="preserve">If the Reset Procedure is used to add/ modify subscription data shared by multiple subscribers, this Information Element </w:t>
            </w:r>
            <w:r w:rsidRPr="00C139B4">
              <w:rPr>
                <w:rFonts w:hint="eastAsia"/>
              </w:rPr>
              <w:t xml:space="preserve">shall </w:t>
            </w:r>
            <w:r w:rsidRPr="00C139B4">
              <w:t>contain the part of the subscription profile that either is to be added to the subscription profile stored in the MME or SGSN or combined MME/SGSN or is replacing a part of the subscription profiles of the impacted subscribers stored in the MME or SGSN.</w:t>
            </w:r>
          </w:p>
          <w:p w14:paraId="76634F15" w14:textId="77777777" w:rsidR="009D4C7F" w:rsidRPr="00C139B4" w:rsidRDefault="009D4C7F" w:rsidP="002B6321">
            <w:pPr>
              <w:pStyle w:val="TAL"/>
            </w:pPr>
            <w:r w:rsidRPr="00C139B4">
              <w:t>Shall be absent if Subscription-Data-Deletion AVP is present.</w:t>
            </w:r>
            <w:r w:rsidRPr="00C139B4">
              <w:br/>
              <w:t>Shall be absent if Reset-ID AVP is absent</w:t>
            </w:r>
          </w:p>
        </w:tc>
      </w:tr>
      <w:tr w:rsidR="009D4C7F" w:rsidRPr="00C139B4" w14:paraId="0AA8727C"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0A7E2472" w14:textId="77777777" w:rsidR="009D4C7F" w:rsidRPr="00C139B4" w:rsidRDefault="009D4C7F" w:rsidP="002B6321">
            <w:pPr>
              <w:pStyle w:val="TAL"/>
            </w:pPr>
            <w:r w:rsidRPr="00C139B4">
              <w:t>Subscription Data Deletion</w:t>
            </w:r>
          </w:p>
          <w:p w14:paraId="2448D420" w14:textId="77777777" w:rsidR="009D4C7F" w:rsidRPr="00C139B4" w:rsidRDefault="009D4C7F" w:rsidP="002B6321">
            <w:pPr>
              <w:pStyle w:val="TAL"/>
            </w:pPr>
            <w:r w:rsidRPr="00C139B4">
              <w:t>(See 7.3.208)</w:t>
            </w:r>
          </w:p>
        </w:tc>
        <w:tc>
          <w:tcPr>
            <w:tcW w:w="1416" w:type="dxa"/>
            <w:tcBorders>
              <w:top w:val="single" w:sz="6" w:space="0" w:color="auto"/>
              <w:left w:val="single" w:sz="6" w:space="0" w:color="auto"/>
              <w:bottom w:val="single" w:sz="12" w:space="0" w:color="auto"/>
              <w:right w:val="single" w:sz="6" w:space="0" w:color="auto"/>
            </w:tcBorders>
          </w:tcPr>
          <w:p w14:paraId="18FE97A2" w14:textId="77777777" w:rsidR="009D4C7F" w:rsidRPr="00C139B4" w:rsidRDefault="009D4C7F" w:rsidP="002B6321">
            <w:pPr>
              <w:pStyle w:val="TAL"/>
            </w:pPr>
            <w:r w:rsidRPr="00C139B4">
              <w:t>Subscription-Data-Deletion</w:t>
            </w:r>
          </w:p>
        </w:tc>
        <w:tc>
          <w:tcPr>
            <w:tcW w:w="603" w:type="dxa"/>
            <w:tcBorders>
              <w:top w:val="single" w:sz="6" w:space="0" w:color="auto"/>
              <w:left w:val="single" w:sz="6" w:space="0" w:color="auto"/>
              <w:bottom w:val="single" w:sz="12" w:space="0" w:color="auto"/>
              <w:right w:val="single" w:sz="6" w:space="0" w:color="auto"/>
            </w:tcBorders>
          </w:tcPr>
          <w:p w14:paraId="7A0BEAAE"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12" w:space="0" w:color="auto"/>
              <w:right w:val="single" w:sz="12" w:space="0" w:color="auto"/>
            </w:tcBorders>
          </w:tcPr>
          <w:p w14:paraId="36370455" w14:textId="77777777" w:rsidR="009D4C7F" w:rsidRPr="00C139B4" w:rsidRDefault="009D4C7F" w:rsidP="002B6321">
            <w:pPr>
              <w:pStyle w:val="TAL"/>
            </w:pPr>
            <w:r w:rsidRPr="00C139B4">
              <w:t xml:space="preserve">If the Reset Procedure is used to delete subscription data shared by multiple subscribers, this Information Element </w:t>
            </w:r>
            <w:r w:rsidRPr="00C139B4">
              <w:rPr>
                <w:rFonts w:hint="eastAsia"/>
              </w:rPr>
              <w:t xml:space="preserve">shall </w:t>
            </w:r>
            <w:r w:rsidRPr="00C139B4">
              <w:t>contain identifications of the part of the subscription profile that is to be deleted from the subscription profiles of the impacted subscribers stored in the MME or SGSN or combined MME/SGSN.</w:t>
            </w:r>
          </w:p>
          <w:p w14:paraId="77ADF2BD" w14:textId="77777777" w:rsidR="009D4C7F" w:rsidRPr="00C139B4" w:rsidRDefault="009D4C7F" w:rsidP="002B6321">
            <w:pPr>
              <w:pStyle w:val="TAL"/>
            </w:pPr>
            <w:r w:rsidRPr="00C139B4">
              <w:t>Shall be absent if Subscription-Data AVP is present.</w:t>
            </w:r>
          </w:p>
          <w:p w14:paraId="67462FE6" w14:textId="77777777" w:rsidR="009D4C7F" w:rsidRPr="00C139B4" w:rsidRDefault="009D4C7F" w:rsidP="002B6321">
            <w:pPr>
              <w:pStyle w:val="TAL"/>
            </w:pPr>
            <w:r w:rsidRPr="00C139B4">
              <w:t>Shall be absent if Reset-ID AVP is absent</w:t>
            </w:r>
          </w:p>
        </w:tc>
      </w:tr>
    </w:tbl>
    <w:p>
      <w:r/>
    </w:p>
    <w:p>
      <w:r>
        <w:t>Table 5.2.4.1.1/2: Reset Answer</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3818A5B7" w14:textId="77777777" w:rsidTr="002B6321">
        <w:trPr>
          <w:jc w:val="center"/>
        </w:trPr>
        <w:tc>
          <w:tcPr>
            <w:tcW w:w="1418" w:type="dxa"/>
            <w:tcBorders>
              <w:top w:val="single" w:sz="12" w:space="0" w:color="auto"/>
            </w:tcBorders>
          </w:tcPr>
          <w:p w14:paraId="012FFFC6" w14:textId="77777777" w:rsidR="009D4C7F" w:rsidRPr="00C139B4" w:rsidRDefault="009D4C7F" w:rsidP="002B6321">
            <w:pPr>
              <w:pStyle w:val="TAH"/>
            </w:pPr>
            <w:r w:rsidRPr="00C139B4">
              <w:t>Information element name</w:t>
            </w:r>
          </w:p>
        </w:tc>
        <w:tc>
          <w:tcPr>
            <w:tcW w:w="1418" w:type="dxa"/>
            <w:tcBorders>
              <w:top w:val="single" w:sz="12" w:space="0" w:color="auto"/>
            </w:tcBorders>
          </w:tcPr>
          <w:p w14:paraId="2973F166" w14:textId="77777777" w:rsidR="009D4C7F" w:rsidRPr="00C139B4" w:rsidRDefault="009D4C7F" w:rsidP="002B6321">
            <w:pPr>
              <w:pStyle w:val="TAH"/>
            </w:pPr>
            <w:r w:rsidRPr="00C139B4">
              <w:t>Mapping to Diameter AVP</w:t>
            </w:r>
          </w:p>
        </w:tc>
        <w:tc>
          <w:tcPr>
            <w:tcW w:w="601" w:type="dxa"/>
            <w:tcBorders>
              <w:top w:val="single" w:sz="12" w:space="0" w:color="auto"/>
            </w:tcBorders>
          </w:tcPr>
          <w:p w14:paraId="60009ECF" w14:textId="77777777" w:rsidR="009D4C7F" w:rsidRPr="00C139B4" w:rsidRDefault="009D4C7F" w:rsidP="002B6321">
            <w:pPr>
              <w:pStyle w:val="TAH"/>
            </w:pPr>
            <w:r w:rsidRPr="00C139B4">
              <w:t>Cat.</w:t>
            </w:r>
          </w:p>
        </w:tc>
        <w:tc>
          <w:tcPr>
            <w:tcW w:w="6237" w:type="dxa"/>
            <w:tcBorders>
              <w:top w:val="single" w:sz="12" w:space="0" w:color="auto"/>
            </w:tcBorders>
          </w:tcPr>
          <w:p w14:paraId="12D95EDB" w14:textId="77777777" w:rsidR="009D4C7F" w:rsidRPr="00C139B4" w:rsidRDefault="009D4C7F" w:rsidP="002B6321">
            <w:pPr>
              <w:pStyle w:val="TAH"/>
            </w:pPr>
            <w:r w:rsidRPr="00C139B4">
              <w:t>Description</w:t>
            </w:r>
          </w:p>
        </w:tc>
      </w:tr>
      <w:tr w:rsidR="009D4C7F" w:rsidRPr="00C139B4" w14:paraId="161EC129" w14:textId="77777777" w:rsidTr="002B6321">
        <w:trPr>
          <w:jc w:val="center"/>
        </w:trPr>
        <w:tc>
          <w:tcPr>
            <w:tcW w:w="1418" w:type="dxa"/>
            <w:tcBorders>
              <w:top w:val="single" w:sz="12" w:space="0" w:color="auto"/>
            </w:tcBorders>
          </w:tcPr>
          <w:p w14:paraId="249A3320" w14:textId="77777777" w:rsidR="009D4C7F" w:rsidRPr="00C139B4" w:rsidRDefault="009D4C7F" w:rsidP="002B6321">
            <w:pPr>
              <w:pStyle w:val="TAL"/>
              <w:rPr>
                <w:b/>
              </w:rPr>
            </w:pPr>
            <w:r w:rsidRPr="00C139B4">
              <w:t>Supported Features</w:t>
            </w:r>
          </w:p>
          <w:p w14:paraId="4AA81DB4"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8" w:type="dxa"/>
            <w:tcBorders>
              <w:top w:val="single" w:sz="12" w:space="0" w:color="auto"/>
            </w:tcBorders>
          </w:tcPr>
          <w:p w14:paraId="2E885C62" w14:textId="77777777" w:rsidR="009D4C7F" w:rsidRPr="00C139B4" w:rsidRDefault="009D4C7F" w:rsidP="002B6321">
            <w:pPr>
              <w:pStyle w:val="TAL"/>
              <w:rPr>
                <w:rFonts w:ascii="Times New Roman" w:hAnsi="Times New Roman"/>
                <w:sz w:val="20"/>
              </w:rPr>
            </w:pPr>
            <w:r w:rsidRPr="00C139B4">
              <w:t>Supported-Features</w:t>
            </w:r>
          </w:p>
        </w:tc>
        <w:tc>
          <w:tcPr>
            <w:tcW w:w="601" w:type="dxa"/>
            <w:tcBorders>
              <w:top w:val="single" w:sz="12" w:space="0" w:color="auto"/>
            </w:tcBorders>
          </w:tcPr>
          <w:p w14:paraId="404CD4D9" w14:textId="77777777" w:rsidR="009D4C7F" w:rsidRPr="00C139B4" w:rsidRDefault="009D4C7F" w:rsidP="002B6321">
            <w:pPr>
              <w:pStyle w:val="TAC"/>
            </w:pPr>
            <w:r w:rsidRPr="00C139B4">
              <w:t>O</w:t>
            </w:r>
          </w:p>
        </w:tc>
        <w:tc>
          <w:tcPr>
            <w:tcW w:w="6237" w:type="dxa"/>
            <w:tcBorders>
              <w:top w:val="single" w:sz="12" w:space="0" w:color="auto"/>
            </w:tcBorders>
          </w:tcPr>
          <w:p w14:paraId="5E8E59FA" w14:textId="77777777" w:rsidR="009D4C7F" w:rsidRPr="00C139B4" w:rsidRDefault="009D4C7F" w:rsidP="002B6321">
            <w:pPr>
              <w:pStyle w:val="TAL"/>
              <w:rPr>
                <w:b/>
              </w:rPr>
            </w:pPr>
            <w:r w:rsidRPr="00C139B4">
              <w:t>If present, this information element shall contain the list of features supported by the origin host.</w:t>
            </w:r>
          </w:p>
        </w:tc>
      </w:tr>
      <w:tr w:rsidR="009D4C7F" w:rsidRPr="00C139B4" w14:paraId="1391928B" w14:textId="77777777" w:rsidTr="002B6321">
        <w:trPr>
          <w:trHeight w:val="401"/>
          <w:jc w:val="center"/>
        </w:trPr>
        <w:tc>
          <w:tcPr>
            <w:tcW w:w="1418" w:type="dxa"/>
            <w:tcBorders>
              <w:bottom w:val="single" w:sz="12" w:space="0" w:color="auto"/>
            </w:tcBorders>
          </w:tcPr>
          <w:p w14:paraId="34E5069B" w14:textId="77777777" w:rsidR="009D4C7F" w:rsidRPr="00C139B4" w:rsidRDefault="009D4C7F" w:rsidP="002B6321">
            <w:pPr>
              <w:pStyle w:val="TAL"/>
              <w:rPr>
                <w:lang w:val="en-US"/>
              </w:rPr>
            </w:pPr>
            <w:r w:rsidRPr="00C139B4">
              <w:rPr>
                <w:lang w:val="en-US"/>
              </w:rPr>
              <w:t>Result</w:t>
            </w:r>
          </w:p>
          <w:p w14:paraId="513B3170" w14:textId="77777777" w:rsidR="009D4C7F" w:rsidRPr="00C139B4" w:rsidRDefault="009D4C7F" w:rsidP="002B6321">
            <w:pPr>
              <w:pStyle w:val="TAL"/>
              <w:rPr>
                <w:lang w:val="en-US"/>
              </w:rPr>
            </w:pPr>
            <w:r w:rsidRPr="00C139B4">
              <w:rPr>
                <w:lang w:val="en-US"/>
              </w:rPr>
              <w:t>(See 7.4)</w:t>
            </w:r>
          </w:p>
        </w:tc>
        <w:tc>
          <w:tcPr>
            <w:tcW w:w="1418" w:type="dxa"/>
            <w:tcBorders>
              <w:bottom w:val="single" w:sz="12" w:space="0" w:color="auto"/>
            </w:tcBorders>
          </w:tcPr>
          <w:p w14:paraId="66E47A50" w14:textId="77777777" w:rsidR="009D4C7F" w:rsidRPr="00C139B4" w:rsidRDefault="009D4C7F" w:rsidP="002B6321">
            <w:pPr>
              <w:pStyle w:val="TAL"/>
            </w:pPr>
            <w:r w:rsidRPr="00C139B4">
              <w:t>Result-Code / Experimental-Result</w:t>
            </w:r>
          </w:p>
        </w:tc>
        <w:tc>
          <w:tcPr>
            <w:tcW w:w="601" w:type="dxa"/>
            <w:tcBorders>
              <w:bottom w:val="single" w:sz="12" w:space="0" w:color="auto"/>
            </w:tcBorders>
          </w:tcPr>
          <w:p w14:paraId="66354D17" w14:textId="77777777" w:rsidR="009D4C7F" w:rsidRPr="00C139B4" w:rsidRDefault="009D4C7F" w:rsidP="002B6321">
            <w:pPr>
              <w:pStyle w:val="TAC"/>
              <w:rPr>
                <w:lang w:val="en-US"/>
              </w:rPr>
            </w:pPr>
            <w:r w:rsidRPr="00C139B4">
              <w:rPr>
                <w:lang w:val="en-US"/>
              </w:rPr>
              <w:t>M</w:t>
            </w:r>
          </w:p>
        </w:tc>
        <w:tc>
          <w:tcPr>
            <w:tcW w:w="6237" w:type="dxa"/>
            <w:tcBorders>
              <w:bottom w:val="single" w:sz="12" w:space="0" w:color="auto"/>
            </w:tcBorders>
          </w:tcPr>
          <w:p w14:paraId="25DB5921" w14:textId="77777777" w:rsidR="009D4C7F" w:rsidRPr="00C139B4" w:rsidRDefault="009D4C7F" w:rsidP="002B6321">
            <w:pPr>
              <w:pStyle w:val="TAL"/>
            </w:pPr>
            <w:r w:rsidRPr="00C139B4">
              <w:t>This IE shall contain the result of the operation.</w:t>
            </w:r>
          </w:p>
          <w:p w14:paraId="6AF6FE6F" w14:textId="77777777" w:rsidR="009D4C7F" w:rsidRPr="00C139B4" w:rsidRDefault="009D4C7F" w:rsidP="002B6321">
            <w:pPr>
              <w:pStyle w:val="TAL"/>
            </w:pPr>
            <w:r w:rsidRPr="00C139B4">
              <w:t xml:space="preserve">The Result-Code AVP shall be used </w:t>
            </w:r>
            <w:r w:rsidRPr="00C139B4">
              <w:rPr>
                <w:rFonts w:hint="eastAsia"/>
                <w:lang w:eastAsia="zh-CN"/>
              </w:rPr>
              <w:t xml:space="preserve">to indicate </w:t>
            </w:r>
            <w:r w:rsidRPr="00C139B4">
              <w:t xml:space="preserve">success / errors as defined in the Diameter base protocol (see </w:t>
            </w:r>
            <w:r>
              <w:rPr>
                <w:lang w:val="it-IT"/>
              </w:rPr>
              <w:t>IETF RFC </w:t>
            </w:r>
            <w:r w:rsidRPr="00C139B4">
              <w:rPr>
                <w:lang w:val="it-IT"/>
              </w:rPr>
              <w:t>6733</w:t>
            </w:r>
            <w:r>
              <w:t> [</w:t>
            </w:r>
            <w:r w:rsidRPr="00C139B4">
              <w:t>61]).</w:t>
            </w:r>
          </w:p>
          <w:p w14:paraId="208BD20D"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2F05FB97" w14:textId="77777777" w:rsidR="009D4C7F" w:rsidRPr="00C139B4" w:rsidRDefault="009D4C7F" w:rsidP="002B6321">
            <w:pPr>
              <w:pStyle w:val="TAL"/>
            </w:pPr>
            <w:r w:rsidRPr="00C139B4">
              <w:t xml:space="preserve">There are no Experimental-Result codes applicable </w:t>
            </w:r>
            <w:r w:rsidRPr="00C139B4">
              <w:rPr>
                <w:lang w:eastAsia="zh-CN"/>
              </w:rPr>
              <w:t>for this command.</w:t>
            </w:r>
          </w:p>
        </w:tc>
      </w:tr>
    </w:tbl>
    <w:p>
      <w:r/>
    </w:p>
    <w:p>
      <w:pPr>
        <w:pStyle w:val="Heading3"/>
      </w:pPr>
      <w:r>
        <w:t>5.2.4.1.2</w:t>
      </w:r>
      <w:r>
        <w:tab/>
        <w:t>Detailed behaviour of the MME and the SGSN</w:t>
      </w:r>
    </w:p>
    <w:p>
      <w:r>
        <w:t>When receiving a Reset message neither containing Subscription-Data nor Subscription-Data-Deletion the MME or SGSN or combined MME/SGSN shall mark all impacted subscriber records "Location Information Confirmed in HSS " as "Not Confirmed".</w:t>
      </w:r>
    </w:p>
    <w:p>
      <w:r>
        <w:t>When receiving a Reset message containing Subscription-Data or Subscription-Data-Deletion the MME or SGSN or combined MME/SGSN shall update all impacted subscriber records accordingly, i.e. each impacted subscriber record is updated as if an individual IDR or DSR for that subscriber was received; for details see clauses 5.2.2.1.2 and 5.2.2.2.2. The MME or SGSN or combined MME/SGSN shall not mark successfully updated subscriber records "Location Information Confirmed in HSS " as "Not Confirmed". If an impacted subscriber record cannot be updated for any reason (e.g. the updated data is considered not shareable by the MME or SGSN or combined MME/SGSN, or the update requires an individual acknowledgement to be sent to the HSS), the MME or SGSN or combined MME/SGSN shall mark that record "Location Information Confirmed in HSS " as "Not Confirmed".</w:t>
      </w:r>
    </w:p>
    <w:p>
      <w:r>
        <w:t>NOTE:</w:t>
      </w:r>
      <w:r>
        <w:tab/>
      </w:r>
      <w:r>
        <w:t>Which subscription data are considered by the MME or SGSN or combined MME/SGSN not shareable by multiple subscribers is implementation specific.</w:t>
      </w:r>
    </w:p>
    <w:p>
      <w:r>
        <w:t>If the update of shared subscription data requires only local updates in the MME or SGSN or combined MME/SGSN (i.e., the update of the profile does not imply to initiate any signalling interaction towards other network nodes), the updates should be performed immediately (e.g. deleting an Operator Determined Barring).</w:t>
      </w:r>
    </w:p>
    <w:p>
      <w:r>
        <w:t>If the update of shared subscription data implies initiating a signalling interaction towards other nodes (e.g. towards the PGW/PCRF for the change of an APN configuration parameter, such as APN-AMBR), depending on the UE</w:t>
      </w:r>
      <w:r>
        <w:t>'</w:t>
      </w:r>
      <w:r>
        <w:t>s state the following shall apply:</w:t>
      </w:r>
    </w:p>
    <w:p>
      <w:r>
        <w:t>-</w:t>
      </w:r>
      <w:r>
        <w:tab/>
        <w:t>If the UE is in CONNECTED state, the updates shall be performed immediately including signalling towards other nodes.</w:t>
      </w:r>
    </w:p>
    <w:p>
      <w:r>
        <w:t>-</w:t>
      </w:r>
      <w:r>
        <w:tab/>
        <w:t xml:space="preserve">If the UE is in IDLE state, the signalling towards other nodes should be deferred to the next authenticated radio contact with that </w:t>
      </w:r>
      <w:r>
        <w:t>UE</w:t>
      </w:r>
      <w:r>
        <w:t>.</w:t>
      </w:r>
    </w:p>
    <w:p>
      <w:r>
        <w:t>NOTE:</w:t>
      </w:r>
      <w:r>
        <w:tab/>
        <w:t>The rational for the recommendation to defer signalling towards other nodes until the next authenticated radio contact is to consider impacts to the network only when the updates are required, and to spread the signalling towards other nodes over some time, based on user</w:t>
      </w:r>
      <w:r>
        <w:t>'</w:t>
      </w:r>
      <w:r>
        <w:t>s activity.</w:t>
      </w:r>
    </w:p>
    <w:p>
      <w:r>
        <w:t>In both cases, to avoid high processing/signalling load resulting from shared subscription data update, processing/signalling actions resulting from data updates in the MME or SGSN or combined MME/SGSN may take</w:t>
      </w:r>
      <w:r>
        <w:t xml:space="preserve"> </w:t>
      </w:r>
      <w:r>
        <w:t>a maximum operator configuration-depending time.</w:t>
      </w:r>
    </w:p>
    <w:p>
      <w:r>
        <w:t>If the Reset-IDs IE is supported and received, the MME or SGSN or combined MME/SGSN shall make use of the Reset-IDs (together with the HSS's realm) in order to determine which subscriber records are impacted (i.e. check whether at least one received Reset-ID is associated with the subscriber); otherwise the MME or SGSN or combined MME/SGSN shall make use of the HSS Identity received in the Origin-Host AVP (by comparing it with the value stored after successful ULA) and may make use of the received User-Id-List (if any) in order to determine which subscriber records are impacted.</w:t>
      </w:r>
    </w:p>
    <w:p>
      <w:r>
        <w:t xml:space="preserve">At the next authenticated radio contact with the </w:t>
      </w:r>
      <w:r>
        <w:t>UE</w:t>
      </w:r>
      <w:r>
        <w:t xml:space="preserve"> concerned, if </w:t>
      </w:r>
      <w:r>
        <w:t xml:space="preserve">the </w:t>
      </w:r>
      <w:r>
        <w:t xml:space="preserve">subscriber record "Location Information Confirmed in HSS" is marked as "Not Confirmed", the restoration procedure </w:t>
      </w:r>
      <w:r>
        <w:t>shall be</w:t>
      </w:r>
      <w:r>
        <w:t xml:space="preserve"> </w:t>
      </w:r>
      <w:r>
        <w:t>triggered.</w:t>
      </w:r>
    </w:p>
    <w:p>
      <w:r>
        <w:t xml:space="preserve">See also </w:t>
      </w:r>
      <w:r>
        <w:t>3GPP TS 2</w:t>
      </w:r>
      <w:r>
        <w:t>9.118</w:t>
      </w:r>
      <w:r>
        <w:t xml:space="preserve"> [</w:t>
      </w:r>
      <w:r>
        <w:t xml:space="preserve">46] </w:t>
      </w:r>
      <w:r>
        <w:t>clause</w:t>
      </w:r>
      <w:r>
        <w:t xml:space="preserve"> </w:t>
      </w:r>
      <w:r>
        <w:t>5</w:t>
      </w:r>
      <w:r>
        <w:t>.9.2.</w:t>
      </w:r>
    </w:p>
    <w:p>
      <w:pPr>
        <w:pStyle w:val="Heading3"/>
      </w:pPr>
      <w:r>
        <w:t>5.2.4.1.3</w:t>
      </w:r>
      <w:r>
        <w:tab/>
        <w:t>Detailed behaviour of the HSS</w:t>
      </w:r>
    </w:p>
    <w:p>
      <w:r>
        <w:t xml:space="preserve">The HSS shall make use of this procedure in order to indicate to all relevant MMEs, SGSN, and combined MME/SGSNs that the HSS has restarted and may have lost the current MME-Identity and SGSN-Identity of some of its subscribers who may be currently roaming in the MME area and/or </w:t>
      </w:r>
      <w:r>
        <w:t>SGSN area</w:t>
      </w:r>
      <w:r>
        <w:t>, and that the HSS</w:t>
      </w:r>
      <w:r>
        <w:t>,</w:t>
      </w:r>
      <w:r>
        <w:t xml:space="preserve"> therefore</w:t>
      </w:r>
      <w:r>
        <w:t>,</w:t>
      </w:r>
      <w:r>
        <w:t xml:space="preserve"> cannot send a Cancel Location messages or Insert Subscriber Data messages when needed.</w:t>
      </w:r>
    </w:p>
    <w:p>
      <w:r>
        <w:t xml:space="preserve">The HSS may make use of this procedure in order to indicate to all relevant MMEs, SGSN, and combined MME/SGSNs that the HSS has updated subscription data shared by some of its subscribers who may be currently roaming in the MME area and/or </w:t>
      </w:r>
      <w:r>
        <w:t>SGSN area</w:t>
      </w:r>
      <w:r>
        <w:t>.</w:t>
      </w:r>
    </w:p>
    <w:p>
      <w:r>
        <w:t>If the Reset-ID feature is not supported by the MME/SGSN and HSS, the HSS optionally may include a list of Ids identifying a subset of subscribers served by the HSS</w:t>
      </w:r>
      <w:r>
        <w:t>,</w:t>
      </w:r>
      <w:r>
        <w:t xml:space="preserve"> if the occurred failure is limited to those subscribers.</w:t>
      </w:r>
    </w:p>
    <w:p>
      <w:r>
        <w:t>If the Reset-ID feature is supported by the MME or SGSN, the HSS optionally may include one (or several) Reset-ID AVPs identifying e.g. failed hardware components if the occured failure is limited to those subscribers associated with e.g. the identified failed hardware components.</w:t>
      </w:r>
    </w:p>
    <w:p>
      <w:r>
        <w:t>The HSS should invoke this procedure towards a combined MME/SGSN only for a single time even if some of the impacted subscribers are attached to the combined MME/SGSN via UTRAN/GERAN and some of the impacted subscribers are attached to the combined MME/SGSN via E-UTRAN.</w:t>
      </w:r>
    </w:p>
    <w:p>
      <w:pPr>
        <w:pStyle w:val="Heading4"/>
      </w:pPr>
      <w:r>
        <w:t>5A.2.3.1</w:t>
      </w:r>
      <w:r>
        <w:tab/>
        <w:t>VCSG Reset</w:t>
      </w:r>
    </w:p>
    <w:p>
      <w:pPr>
        <w:pStyle w:val="Heading3"/>
      </w:pPr>
      <w:r>
        <w:t>7.2.16</w:t>
      </w:r>
      <w:r>
        <w:tab/>
        <w:t>Reset-Answer (RSA) Command</w:t>
      </w:r>
    </w:p>
    <w:p>
      <w:r>
        <w:t xml:space="preserve">The Reset-Answer (RSA) command, indicated by the Command-Code field set to 322 and the 'R' bit cleared in the Command Flags field, is sent from MME </w:t>
      </w:r>
      <w:r>
        <w:t>or SGSN</w:t>
      </w:r>
      <w:r>
        <w:t xml:space="preserve"> to HSS or CSS.</w:t>
      </w:r>
    </w:p>
    <w:p>
      <w:r>
        <w:t>Message Format when used over the S6a/S6d application:</w:t>
      </w:r>
    </w:p>
    <w:p>
      <w:r>
        <w:t>&lt; Reset-Answer&gt; ::=</w:t>
      </w:r>
      <w:r>
        <w:tab/>
      </w:r>
      <w:r>
        <w:t>&lt; Diameter Header: 322, PXY, 16777251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t>Message Format when used over the S7a /S7d application:</w:t>
      </w:r>
    </w:p>
    <w:p>
      <w:r>
        <w:t>&lt; Reset-Answer&gt; ::=</w:t>
      </w:r>
      <w:r>
        <w:tab/>
      </w:r>
      <w:r>
        <w:t>&lt; Diameter Header: 322, PXY, 16777308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p>
    <w:p>
      <w:pPr>
        <w:pStyle w:val="Heading3"/>
      </w:pPr>
      <w:r>
        <w:t>7.3.184</w:t>
      </w:r>
      <w:r>
        <w:tab/>
        <w:t>Reset-ID</w:t>
      </w:r>
    </w:p>
    <w:p>
      <w:r>
        <w:t>The Reset-ID is of type OctetString. The value shall uniquely (within the HSS's realm) identify a resource in the HSS that may fail or has restarted.</w:t>
      </w:r>
    </w:p>
    <w:p>
      <w:r>
        <w:t xml:space="preserve">In the Reset procedure, when used to </w:t>
      </w:r>
      <w:r>
        <w:t>add/modify/delete subscription data shared by multiple subscribers, the Reset-ID is used to identify the set of affected subscribers.</w:t>
      </w:r>
    </w:p>
    <w:p/>
    <w:p>
      <w:r>
        <w:rPr>
          <w:b/>
          <w:sz w:val="28"/>
        </w:rPr>
        <w:t>AVP Path Definitions</w:t>
      </w:r>
    </w:p>
    <w:p/>
    <w:p>
      <w:r>
        <w:rPr>
          <w:b/>
          <w:color w:val="000080"/>
          <w:sz w:val="24"/>
        </w:rPr>
        <w:t>[0] Subscription-Data-Deletion (Grouped)</w:t>
      </w:r>
    </w:p>
    <w:p/>
    <w:p>
      <w:pPr>
        <w:pStyle w:val="Heading3"/>
      </w:pPr>
      <w:r>
        <w:t>7.3.208</w:t>
      </w:r>
      <w:r>
        <w:tab/>
        <w:t>Subscription-Data-Deletion</w:t>
      </w:r>
    </w:p>
    <w:p>
      <w:r>
        <w:t>The Subscription-Data-Deletion AVP is of type Grouped and indicates the shared subscription data that need to be deleted from the subscription profiles of the impacted subscribers.</w:t>
      </w:r>
    </w:p>
    <w:p>
      <w:r>
        <w:t>AVP format</w:t>
      </w:r>
    </w:p>
    <w:p>
      <w:r>
        <w:t>Subscription-Data-Deletion ::= &lt;AVP header: 1685 10415&gt;</w:t>
      </w:r>
    </w:p>
    <w:p>
      <w:r>
        <w:t>{ DSR</w:t>
      </w:r>
      <w:r>
        <w:t>-Flags</w:t>
      </w:r>
      <w:r>
        <w:t xml:space="preserve"> </w:t>
      </w:r>
      <w:r>
        <w:t>}</w:t>
      </w:r>
    </w:p>
    <w:p>
      <w:r>
        <w:t>[ SCEF-ID ]</w:t>
      </w:r>
    </w:p>
    <w:p>
      <w:r>
        <w:t>*</w:t>
      </w:r>
      <w:r>
        <w:t xml:space="preserve">[ </w:t>
      </w:r>
      <w:r>
        <w:t>Context-Identifier</w:t>
      </w:r>
      <w:r>
        <w:t xml:space="preserve"> ]</w:t>
      </w:r>
    </w:p>
    <w:p>
      <w:r>
        <w:t>[ Trace-Reference ]</w:t>
      </w:r>
    </w:p>
    <w:p>
      <w:r>
        <w:t>*[ TS-Code ]</w:t>
      </w:r>
    </w:p>
    <w:p>
      <w:r>
        <w:t>*[ SS-Code ]</w:t>
      </w:r>
    </w:p>
    <w:p>
      <w:r>
        <w:t>*[ AVP ]</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