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PDN-GW-Allocation-Type</w:t>
        <w:br/>
      </w:r>
      <w:r>
        <w:rPr>
          <w:b/>
        </w:rPr>
        <w:t xml:space="preserve">Message: </w:t>
      </w:r>
      <w:r>
        <w:t>Reset Request (RSR)</w:t>
        <w:br/>
      </w:r>
      <w:r>
        <w:rPr>
          <w:b/>
        </w:rPr>
        <w:t xml:space="preserve">Extraction Date: </w:t>
      </w:r>
      <w:r>
        <w:t>2026-03-10 14:02:30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PDN-GW-Allocation-Type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PDN-GW-Allocation-Type</w:t>
      </w:r>
    </w:p>
    <w:p/>
    <w:p>
      <w:pPr>
        <w:pStyle w:val="Heading3"/>
      </w:pPr>
      <w:r>
        <w:t>7.3.44</w:t>
      </w:r>
      <w:r>
        <w:tab/>
        <w:t>PDN-GW-Allocation-Type</w:t>
      </w:r>
    </w:p>
    <w:p>
      <w:r>
        <w:t xml:space="preserve">The PDN-GW-Allocation-Type AVP is of type Enumerated. It </w:t>
      </w:r>
      <w:r>
        <w:t xml:space="preserve">shall </w:t>
      </w:r>
      <w:r>
        <w:t>indicate whether the PDN GW address included in MIP6-Agent-Info has been statically allocated (i.e. provisioned in the HSS by the operator), or dynamically selected by other nodes. The following values are defined:</w:t>
      </w:r>
    </w:p>
    <w:p>
      <w:r>
        <w:t>STATIC (0)</w:t>
      </w:r>
    </w:p>
    <w:p>
      <w:r>
        <w:t>DYNAMIC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