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MIP6-Agent-Info</w:t>
        <w:br/>
      </w:r>
      <w:r>
        <w:rPr>
          <w:b/>
        </w:rPr>
        <w:t xml:space="preserve">Message: </w:t>
      </w:r>
      <w:r>
        <w:t>Reset Request (RSR)</w:t>
        <w:br/>
      </w:r>
      <w:r>
        <w:rPr>
          <w:b/>
        </w:rPr>
        <w:t xml:space="preserve">Extraction Date: </w:t>
      </w:r>
      <w:r>
        <w:t>2026-03-10 13:55:47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MIP6-Agent-Info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MIP6-Agent-Info</w:t>
      </w:r>
    </w:p>
    <w:p/>
    <w:p>
      <w:pPr>
        <w:pStyle w:val="Heading3"/>
      </w:pPr>
      <w:r>
        <w:t>7.3.45</w:t>
      </w:r>
      <w:r>
        <w:tab/>
        <w:t>MIP6-Agent-Info</w:t>
      </w:r>
    </w:p>
    <w:p>
      <w:r>
        <w:t xml:space="preserve">The MIP6-Agent-InfoAVP is of type </w:t>
      </w:r>
      <w:r>
        <w:t>Grouped</w:t>
      </w:r>
      <w:r>
        <w:t xml:space="preserve"> and</w:t>
      </w:r>
      <w:r>
        <w:t xml:space="preserve"> is defined in </w:t>
      </w:r>
      <w:r>
        <w:t xml:space="preserve">IETF RFC </w:t>
      </w:r>
      <w:r>
        <w:t>5447</w:t>
      </w:r>
      <w:r>
        <w:t xml:space="preserve"> [</w:t>
      </w:r>
      <w:r>
        <w:t>26]</w:t>
      </w:r>
      <w:r>
        <w:t xml:space="preserve">. This AVP </w:t>
      </w:r>
      <w:r>
        <w:t xml:space="preserve">shall </w:t>
      </w:r>
      <w:r>
        <w:t>contain the identity of the PDN-GW. This AVP is used to convey the identity of the PDN-GW between the MME/SGSN and the HSS regardless of the specific mobility protocol used (GTP or PMIPv6). The identity of PDN-GW is either an IP address transported in MIP-Home-Agent-Address or an FQDN transported in MIP-Home-Agent-Host. FQDN shall be used if known to the MME/SGSN/HSS.</w:t>
      </w:r>
    </w:p>
    <w:p>
      <w:r>
        <w:t>AVP format</w:t>
      </w:r>
    </w:p>
    <w:p>
      <w:r>
        <w:t>MIP6-Agent-Info ::=</w:t>
      </w:r>
      <w:r>
        <w:tab/>
      </w:r>
      <w:r>
        <w:t xml:space="preserve">&lt; AVP Header: </w:t>
      </w:r>
      <w:r>
        <w:t>486</w:t>
      </w:r>
      <w:r>
        <w:t xml:space="preserve"> &gt;</w:t>
      </w:r>
    </w:p>
    <w:p>
      <w:r>
        <w:t>*2[ MIP-Home-Agent-Address ]</w:t>
      </w:r>
    </w:p>
    <w:p>
      <w:r>
        <w:t>[ MIP-Home-Agent-Host ]</w:t>
      </w:r>
    </w:p>
    <w:p>
      <w:r>
        <w:t>[ MIP6-Home-Link-Prefix ]</w:t>
      </w:r>
    </w:p>
    <w:p>
      <w:r>
        <w:t>*[ AVP ]</w:t>
      </w:r>
    </w:p>
    <w:p>
      <w:r>
        <w:t>Within the MIP6-Agent-Info AVP, if static address allocation is used, there may be either:</w:t>
      </w:r>
    </w:p>
    <w:p>
      <w:r>
        <w:t>-</w:t>
      </w:r>
      <w:r>
        <w:tab/>
        <w:t>an IPv4 address or an IPv6 address of the PGW contained in one MIP-Home-Agent-Address AVP;</w:t>
      </w:r>
    </w:p>
    <w:p>
      <w:r>
        <w:t>-</w:t>
      </w:r>
      <w:r>
        <w:tab/>
        <w:t>both IPv4 address and IPv6 address of the PGW contained in two MIP-Home-Agent-Address AVPs.</w:t>
      </w:r>
    </w:p>
    <w:p>
      <w:r>
        <w:t>The AVP MIP6-Home-Link-Prefix is not used in S6a/S6d, but it is included here to reflect the complete IETF definition of the grouped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