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VPLMN-Dynamic-Address-Allowed</w:t>
        <w:br/>
      </w:r>
      <w:r>
        <w:rPr>
          <w:b/>
        </w:rPr>
        <w:t xml:space="preserve">Message: </w:t>
      </w:r>
      <w:r>
        <w:t>Reset Request (RSR)</w:t>
        <w:br/>
      </w:r>
      <w:r>
        <w:rPr>
          <w:b/>
        </w:rPr>
        <w:t xml:space="preserve">Extraction Date: </w:t>
      </w:r>
      <w:r>
        <w:t>2026-03-10 14:01:29</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VPLMN-Dynamic-Address-Allowed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p>
      <w:r>
        <w:rPr>
          <w:b/>
          <w:color w:val="000080"/>
          <w:sz w:val="24"/>
        </w:rPr>
        <w:t xml:space="preserve">      → [3] VPLMN-Dynamic-Address-Allowed</w:t>
      </w:r>
    </w:p>
    <w:p/>
    <w:p>
      <w:pPr>
        <w:pStyle w:val="Heading3"/>
      </w:pPr>
      <w:r>
        <w:t>7.3.38</w:t>
      </w:r>
      <w:r>
        <w:tab/>
        <w:t>VPLMN-Dynamic-Address-Allowed</w:t>
      </w:r>
    </w:p>
    <w:p>
      <w:r>
        <w:t xml:space="preserve">The VPLMN-Dynamic-Address-Allowed AVP is of type Enumerated. It </w:t>
      </w:r>
      <w:r>
        <w:t xml:space="preserve">shall </w:t>
      </w:r>
      <w:r>
        <w:t xml:space="preserve">indicate whether </w:t>
      </w:r>
      <w:r>
        <w:t>for this APN</w:t>
      </w:r>
      <w:r>
        <w:t>,</w:t>
      </w:r>
      <w:r>
        <w:t xml:space="preserve"> </w:t>
      </w:r>
      <w:r>
        <w:t xml:space="preserve">the UE is allowed to use the PDN GW in the domain of the HPLMN only, or additionally, the PDN GW in the domain of the VPLMN.. If this AVP is not present, this means that the UE is not allowed to use </w:t>
      </w:r>
      <w:r>
        <w:t>PDN GWs in the domain of the VPLMN</w:t>
      </w:r>
      <w:r>
        <w:t>. The following values are defined:</w:t>
      </w:r>
    </w:p>
    <w:p>
      <w:r>
        <w:t>NOTALLOWED (0)</w:t>
      </w:r>
    </w:p>
    <w:p>
      <w:r>
        <w:t>ALLOWED (1)</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