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PDN-Type</w:t>
        <w:br/>
      </w:r>
      <w:r>
        <w:rPr>
          <w:b/>
        </w:rPr>
        <w:t xml:space="preserve">Message: </w:t>
      </w:r>
      <w:r>
        <w:t>Update Location Answer (ULA)</w:t>
        <w:br/>
      </w:r>
      <w:r>
        <w:rPr>
          <w:b/>
        </w:rPr>
        <w:t xml:space="preserve">Extraction Date: </w:t>
      </w:r>
      <w:r>
        <w:t>2026-03-10 14:00:24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PDN-Type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PDN-Type</w:t>
      </w:r>
    </w:p>
    <w:p/>
    <w:p>
      <w:pPr>
        <w:pStyle w:val="Heading3"/>
      </w:pPr>
      <w:r>
        <w:t>7.3.</w:t>
      </w:r>
      <w:r>
        <w:t>62</w:t>
      </w:r>
      <w:r>
        <w:tab/>
      </w:r>
      <w:r>
        <w:t>PDN</w:t>
      </w:r>
      <w:r>
        <w:t>-</w:t>
      </w:r>
      <w:r>
        <w:t>Type</w:t>
      </w:r>
    </w:p>
    <w:p>
      <w:r>
        <w:t xml:space="preserve">The </w:t>
      </w:r>
      <w:r>
        <w:t>PDN</w:t>
      </w:r>
      <w:r>
        <w:t xml:space="preserve">-Type AVP is of type Enumerated and indicates the </w:t>
      </w:r>
      <w:r>
        <w:t xml:space="preserve">address </w:t>
      </w:r>
      <w:r>
        <w:t xml:space="preserve">type of the </w:t>
      </w:r>
      <w:r>
        <w:t>PDN</w:t>
      </w:r>
      <w:r>
        <w:t>, when it is IP-based</w:t>
      </w:r>
      <w:r>
        <w:t>.</w:t>
      </w:r>
    </w:p>
    <w:p>
      <w:r>
        <w:t>NOTE:</w:t>
      </w:r>
      <w:r>
        <w:tab/>
        <w:t xml:space="preserve">There are certain PDNs that can be accessed </w:t>
      </w:r>
      <w:r>
        <w:t>without using IP. These</w:t>
      </w:r>
      <w:r>
        <w:t xml:space="preserve"> are identified by a specific PDN type indicator in their APN configuration settings (</w:t>
      </w:r>
      <w:r>
        <w:t xml:space="preserve">e.g. </w:t>
      </w:r>
      <w:r>
        <w:t>see clause</w:t>
      </w:r>
      <w:r>
        <w:t>s</w:t>
      </w:r>
      <w:r>
        <w:t xml:space="preserve"> 7.3.204</w:t>
      </w:r>
      <w:r>
        <w:t xml:space="preserve"> and 7.3.232</w:t>
      </w:r>
      <w:r>
        <w:t>).</w:t>
      </w:r>
    </w:p>
    <w:p>
      <w:r>
        <w:t>The following values are defined:</w:t>
      </w:r>
    </w:p>
    <w:p>
      <w:r>
        <w:t>IPv4</w:t>
      </w:r>
      <w:r>
        <w:t xml:space="preserve"> (0)</w:t>
      </w:r>
    </w:p>
    <w:p>
      <w:r>
        <w:t>This value shall be used to indicate that the PDN can be accessed only in IPv4 mode.</w:t>
      </w:r>
    </w:p>
    <w:p>
      <w:r>
        <w:t>IPv6</w:t>
      </w:r>
      <w:r>
        <w:t xml:space="preserve"> (1)</w:t>
      </w:r>
    </w:p>
    <w:p>
      <w:r>
        <w:t>This value shall be used to indicate that the PDN can be accessed only in IPv6 mode.</w:t>
      </w:r>
    </w:p>
    <w:p>
      <w:r>
        <w:t>IPv4v6</w:t>
      </w:r>
      <w:r>
        <w:t xml:space="preserve"> (2)</w:t>
      </w:r>
    </w:p>
    <w:p>
      <w:r>
        <w:t>This value shall be used to indicate that the PDN can be accessed both in IPv4 mode, in IPv6 mode, and also from UEs supporting dualstack IPv4v6.</w:t>
      </w:r>
    </w:p>
    <w:p>
      <w:r>
        <w:t>IPv4_OR_IPv6 (3)</w:t>
      </w:r>
    </w:p>
    <w:p>
      <w:r>
        <w:t>This value shall be used to indicate that the PDN can be accessed either in IPv4 mode, or in IPv6 mode, but not from UEs supporting dualstack IPv4v6. It should be noted that this value will never be used as a requested PDN Type from the UE, since UEs will only use one of their supported PDN Types, i.e., IPv4 only, IPv6 only or IPv4v6 (dualstack). This value is only used as part of the APN subscription context, as an authorization mechanism between HSS and MME.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