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Regional-Subscription-Zone-Code</w:t>
        <w:br/>
      </w:r>
      <w:r>
        <w:rPr>
          <w:b/>
        </w:rPr>
        <w:t xml:space="preserve">Message: </w:t>
      </w:r>
      <w:r>
        <w:t>Update Location Answer (ULA)</w:t>
        <w:br/>
      </w:r>
      <w:r>
        <w:rPr>
          <w:b/>
        </w:rPr>
        <w:t xml:space="preserve">Extraction Date: </w:t>
      </w:r>
      <w:r>
        <w:t>2026-03-10 14:02:18</w:t>
      </w:r>
    </w:p>
    <w:p/>
    <w:p>
      <w:r>
        <w:rPr>
          <w:b/>
          <w:sz w:val="24"/>
        </w:rPr>
        <w:t>AVP Path:</w:t>
      </w:r>
    </w:p>
    <w:p/>
    <w:p>
      <w:r>
        <w:t>[Level 0] Subscription-Data</w:t>
      </w:r>
      <w:r>
        <w:rPr>
          <w:color w:val="808080"/>
        </w:rPr>
        <w:t xml:space="preserve"> (Grouped AVP)</w:t>
      </w:r>
    </w:p>
    <w:p>
      <w:r>
        <w:t xml:space="preserve">   → [Level 1] Regional-Subscription-Zone-Code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Regional-Subscription-Zone-Code</w:t>
      </w:r>
    </w:p>
    <w:p/>
    <w:p>
      <w:pPr>
        <w:pStyle w:val="Heading3"/>
      </w:pPr>
      <w:r>
        <w:t>7.3.52</w:t>
      </w:r>
      <w:r>
        <w:tab/>
        <w:t>Regional-Subscription-Zone-Code</w:t>
      </w:r>
    </w:p>
    <w:p>
      <w:r>
        <w:t xml:space="preserve">The </w:t>
      </w:r>
      <w:r>
        <w:t>Regional-Subscription-Zone-Code</w:t>
      </w:r>
      <w:r>
        <w:t xml:space="preserve"> AVP is of type OctetString.</w:t>
      </w:r>
      <w:r>
        <w:t xml:space="preserve"> </w:t>
      </w:r>
      <w:r>
        <w:t xml:space="preserve">It shall contain a Zone Code (ZC) as defined in </w:t>
      </w:r>
      <w:r>
        <w:t>3GPP TS 2</w:t>
      </w:r>
      <w:r>
        <w:t>3.003</w:t>
      </w:r>
      <w:r>
        <w:t xml:space="preserve"> [</w:t>
      </w:r>
      <w:r>
        <w:t xml:space="preserve">3], </w:t>
      </w:r>
      <w:r>
        <w:t>clause</w:t>
      </w:r>
      <w:r>
        <w:t xml:space="preserve"> </w:t>
      </w:r>
      <w:r>
        <w:t>4</w:t>
      </w:r>
      <w:r>
        <w:t>.4. Up to 10 Zone Codes per VPLMN can be defined as part of the users's subscription data.</w:t>
      </w:r>
    </w:p>
    <w:p>
      <w:r>
        <w:t>NOTE 1:</w:t>
      </w:r>
      <w:r>
        <w:tab/>
      </w:r>
      <w:r>
        <w:t>E</w:t>
      </w:r>
      <w:r>
        <w:t>ach zone code represents a collection of tracking area or routing areas (defined by the operator of the VPLMN) where the user is allowed, or disallowed, to roam. The determination of which areas are actually allowed, and which ones are not allowed, is done by the serving node (MME/SGSN) in an implementation-dependent manner.</w:t>
      </w:r>
    </w:p>
    <w:p>
      <w:r>
        <w:t>NOTE 2:</w:t>
      </w:r>
      <w:r>
        <w:tab/>
        <w:t xml:space="preserve">The description of RSZI in </w:t>
      </w:r>
      <w:r>
        <w:t>3GPP TS 2</w:t>
      </w:r>
      <w:r>
        <w:t>3.003</w:t>
      </w:r>
      <w:r>
        <w:t xml:space="preserve"> [</w:t>
      </w:r>
      <w:r>
        <w:t>3] is applicable, in the context of this specification, not only to location areas, but also to routing and tracking areas.</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