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Inducible-Promoter Mining — Task List</w:t>
      </w:r>
    </w:p>
    <w:p>
      <w:pPr>
        <w:spacing w:after="40"/>
      </w:pPr>
      <w:r>
        <w:rPr>
          <w:i/>
          <w:iCs/>
          <w:color w:val="595959"/>
          <w:sz w:val="24"/>
          <w:szCs w:val="24"/>
        </w:rPr>
        <w:t xml:space="preserve">Stage 2: Oxygen-Inducible Promoters (brief-air-exposure switch) in Clostridium butyricum DSM 10702</w:t>
      </w:r>
    </w:p>
    <w:p>
      <w:pPr>
        <w:spacing w:after="200"/>
      </w:pPr>
      <w:r>
        <w:rPr>
          <w:color w:val="595959"/>
          <w:sz w:val="20"/>
          <w:szCs w:val="20"/>
        </w:rPr>
        <w:t xml:space="preserve">HKUST iGEM 2026 — Dry Lab</w:t>
      </w:r>
    </w:p>
    <w:p>
      <w:pPr>
        <w:pBdr>
          <w:bottom w:val="single" w:color="2E75B6" w:sz="6" w:space="1"/>
        </w:pBdr>
        <w:spacing w:after="200"/>
      </w:pPr>
    </w:p>
    <w:p>
      <w:pPr>
        <w:pStyle w:val="Heading1"/>
      </w:pPr>
      <w:r>
        <w:t xml:space="preserve">Before you start</w:t>
      </w:r>
    </w:p>
    <w:p>
      <w:pPr>
        <w:spacing w:after="120"/>
      </w:pPr>
      <w:r>
        <w:t xml:space="preserve">Finding an inducible promoter is a different kind of problem from Stage 1. In Stage 1 we asked “does this DNA look like a promoter?” — a sequence question. Here we ask “does this promoter switch ON specifically with air?”, and that answer is not in the sequence — it’s in RNA-seq measured under air exposure versus anaerobic. So the data is the signal; the sequence tools (motif scan, the trained models) only help locate and describe the promoter afterward. We rank candidates by how much they switch (the ON/OFF ratio), never by how strongly a gene is expressed.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FF2CC" w:val="clear"/>
            <w:tcMar>
              <w:top w:type="dxa" w:w="120"/>
              <w:left w:type="dxa" w:w="160"/>
              <w:bottom w:type="dxa" w:w="120"/>
              <w:right w:type="dxa" w:w="160"/>
            </w:tcMar>
          </w:tcPr>
          <w:p>
            <w:pPr>
              <w:spacing w:after="0"/>
            </w:pPr>
            <w:r>
              <w:rPr>
                <w:b/>
                <w:bCs/>
                <w:color w:val="C00000"/>
              </w:rPr>
              <w:t xml:space="preserve">Chosen switch: brief air exposure. </w:t>
            </w:r>
            <w:r>
              <w:t xml:space="preserve">OFF = an anaerobic culture; ON = the same culture briefly exposed to air and sampled at an early timepoint (minutes, not hours). The regulator we’re mining is PerR, a repressor that lets go of the DNA when oxidised — so the promoters we want carry a “Per box” operator.</w:t>
            </w:r>
          </w:p>
        </w:tc>
      </w:tr>
    </w:tbl>
    <w:p>
      <w:pPr>
        <w:spacing w:after="60" w:before="120"/>
      </w:pPr>
      <w:r>
        <w:rPr>
          <w:i/>
          <w:iCs/>
          <w:color w:val="595959"/>
          <w:sz w:val="20"/>
          <w:szCs w:val="20"/>
        </w:rPr>
        <w:t xml:space="preserve">Owner and Due are TBD until Stage 2 is assigned and scheduled. “IP” = Inducible Promoter; “T#” references reuse a Stage-1 task you already have.</w:t>
      </w:r>
    </w:p>
    <w:p>
      <w:pPr>
        <w:pStyle w:val="Heading1"/>
      </w:pPr>
      <w:r>
        <w:t xml:space="preserve">Setup &amp; data</w:t>
      </w:r>
    </w:p>
    <w:p>
      <w:pPr>
        <w:spacing w:after="140"/>
      </w:pPr>
      <w:r>
        <w:rPr>
          <w:i/>
          <w:iCs/>
        </w:rPr>
        <w:t xml:space="preserve">Pin down exactly what we’re mining for, then gather the RNA-seq that carries the switch signal.</w:t>
      </w:r>
    </w:p>
    <w:p>
      <w:pPr>
        <w:pStyle w:val="Heading2"/>
      </w:pPr>
      <w:r>
        <w:t xml:space="preserve">IP1 Define the air-exposure switch</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nothing</w:t>
      </w:r>
    </w:p>
    <w:p>
      <w:pPr>
        <w:spacing w:after="180"/>
      </w:pPr>
      <w:r>
        <w:t xml:space="preserve">Before we can look for a promoter that “turns on with air,” we have to pin down exactly what “on” and “off” mean, because “inducible” only makes sense as a comparison between two conditions. We’ve picked the switch: OFF is a normal anaerobic culture, ON is that same culture briefly exposed to air and sampled early (about 15–60 minutes in). We also write down our hypothesis — that these promoters are controlled by PerR, a repressor that falls off the DNA when it gets oxidised — and a shortlist of genes we expect to switch on (the oxidative-defence genes: revRbr, fprA, rbr and friends). That shortlist becomes our “answer key” for IP6. The whole deliverable is a short written spec everyone agrees on before any data work begins.</w:t>
      </w:r>
    </w:p>
    <w:p>
      <w:pPr>
        <w:pStyle w:val="Heading2"/>
      </w:pPr>
      <w:r>
        <w:t xml:space="preserve">IP2 Gather cross-species air-exposure RNA-seq</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nothing</w:t>
      </w:r>
    </w:p>
    <w:p>
      <w:pPr>
        <w:spacing w:after="180"/>
      </w:pPr>
      <w:r>
        <w:t xml:space="preserve">The switch signal doesn’t live in the DNA — it lives in RNA-seq, which measures which genes are active under air exposure versus anaerobic. The catch is that C. butyricum has no air-exposure RNA-seq of its own, so (exactly like Stage 1) we borrow from data-rich relatives: C. acetobutylicum (air / microoxic exposure), C. difficile (air-exposure RNA-seq), C. tyrobutyricum. A “delete-PerR versus normal” dataset is the best of all, because removing the repressor switches the whole regulon on directly. Prefer datasets with early timepoints. This raw data is what IP3 analyses.</w:t>
      </w:r>
    </w:p>
    <w:p>
      <w:pPr>
        <w:pStyle w:val="Heading1"/>
      </w:pPr>
      <w:r>
        <w:t xml:space="preserve">Find the switches</w:t>
      </w:r>
    </w:p>
    <w:p>
      <w:pPr>
        <w:spacing w:after="140"/>
      </w:pPr>
      <w:r>
        <w:rPr>
          <w:i/>
          <w:iCs/>
        </w:rPr>
        <w:t xml:space="preserve">Turn the RNA-seq into a shortlist of genuinely air-inducible, PerR-controlled promoters.</w:t>
      </w:r>
    </w:p>
    <w:p>
      <w:pPr>
        <w:pStyle w:val="Heading2"/>
      </w:pPr>
      <w:r>
        <w:t xml:space="preserve">IP3 Differential expression — find the induced genes</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IP2</w:t>
      </w:r>
    </w:p>
    <w:p>
      <w:pPr>
        <w:spacing w:after="180"/>
      </w:pPr>
      <w:r>
        <w:t xml:space="preserve">This is the core new step and the heart of the whole workflow. We take the RNA-seq and find the genes that are specifically MORE active under air exposure than anaerobic — the “induced” genes, whose promoters are the switches we’re after. The idea that’s easy to get wrong: “induced” means a big ratio between the two conditions (fold-change), not just “highly expressed” — a housekeeping gene can be very loud but flat, and it is not inducible. We use standard tools (DESeq2 or edgeR) and the earliest air-exposure timepoint, before oxygen toxicity muddies the signal. The output is a ranked list of induced genes.</w:t>
      </w:r>
    </w:p>
    <w:p>
      <w:pPr>
        <w:pStyle w:val="Heading2"/>
      </w:pPr>
      <w:r>
        <w:t xml:space="preserve">IP4 Turn each induced gene into its promoter</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IP3</w:t>
      </w:r>
    </w:p>
    <w:p>
      <w:pPr>
        <w:spacing w:after="180"/>
      </w:pPr>
      <w:r>
        <w:t xml:space="preserve">An induced gene tells us which promoter to look at, but we still have to pull out the actual promoter DNA. A gene sitting in the middle of an operon has no promoter of its own, so we take the first gene of the operon, find where transcription actually starts (the TSS), and extract the region just upstream. This reuses the Stage-1 machinery directly — operon detection (T12), TSSpredator (T10), and the upstream-extraction script (T13) — so it’s mostly wiring existing tools together on the new gene list. The output is the promoter sequences for the induced genes.</w:t>
      </w:r>
    </w:p>
    <w:p>
      <w:pPr>
        <w:pStyle w:val="Heading2"/>
      </w:pPr>
      <w:r>
        <w:t xml:space="preserve">IP5 Confirm the PerR logic (find the Per box)</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IP4</w:t>
      </w:r>
    </w:p>
    <w:p>
      <w:pPr>
        <w:spacing w:after="180"/>
      </w:pPr>
      <w:r>
        <w:t xml:space="preserve">This is the step that separates a real switch from a promoter that just happens to be busy during stress. We look in the promoters for the “Per box” — the specific DNA site that PerR grips onto (roughly TTATAATnATTATAA) — either by scanning for the known one or discovering it from the co-induced promoters with MEME / STREME (reusing Leo’s T31 FIMO/MEME work). A promoter that carries a Per box is genuinely PerR-controlled, which is what makes it a true air-inducible switch rather than background. The output is a confidence score (a motif q-value) for each candidate.</w:t>
      </w:r>
    </w:p>
    <w:p>
      <w:pPr>
        <w:pStyle w:val="Heading1"/>
      </w:pPr>
      <w:r>
        <w:t xml:space="preserve">Validate</w:t>
      </w:r>
    </w:p>
    <w:p>
      <w:pPr>
        <w:spacing w:after="140"/>
      </w:pPr>
      <w:r>
        <w:rPr>
          <w:i/>
          <w:iCs/>
        </w:rPr>
        <w:t xml:space="preserve">Prove the pipeline recovers a known answer before trusting it on the target.</w:t>
      </w:r>
    </w:p>
    <w:p>
      <w:pPr>
        <w:pStyle w:val="Heading2"/>
      </w:pPr>
      <w:r>
        <w:t xml:space="preserve">IP6 Prove the pipeline on a known answer</w:t>
      </w:r>
    </w:p>
    <w:p>
      <w:pPr>
        <w:spacing w:after="60"/>
      </w:pPr>
      <w:r>
        <w:rPr>
          <w:b/>
          <w:bCs/>
        </w:rPr>
        <w:t xml:space="preserve">Owner: </w:t>
      </w:r>
      <w:r>
        <w:t xml:space="preserve">TBD</w:t>
      </w:r>
      <w:r>
        <w:rPr>
          <w:b/>
          <w:bCs/>
        </w:rPr>
        <w:t xml:space="preserve">    Due: </w:t>
      </w:r>
      <w:r>
        <w:t xml:space="preserve">TBD</w:t>
      </w:r>
      <w:r>
        <w:rPr>
          <w:b/>
          <w:bCs/>
        </w:rPr>
        <w:t xml:space="preserve">    Depends on: </w:t>
      </w:r>
      <w:r>
        <w:t xml:space="preserve">IP3, IP4, IP5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4"/>
              <w:bottom w:val="single" w:color="E0A030" w:sz="4"/>
              <w:right w:val="single" w:color="E0A030" w:sz="4"/>
            </w:tcBorders>
            <w:shd w:fill="FCE4D6" w:val="clear"/>
            <w:tcMar>
              <w:top w:type="dxa" w:w="120"/>
              <w:left w:type="dxa" w:w="160"/>
              <w:bottom w:type="dxa" w:w="120"/>
              <w:right w:type="dxa" w:w="160"/>
            </w:tcMar>
          </w:tcPr>
          <w:p>
            <w:pPr>
              <w:spacing w:after="0"/>
            </w:pPr>
            <w:r>
              <w:rPr>
                <w:b/>
                <w:bCs/>
                <w:color w:val="C00000"/>
              </w:rPr>
              <w:t xml:space="preserve">REQUIRED GATE — do not skip. </w:t>
            </w:r>
            <w:r>
              <w:t xml:space="preserve">Prove the pipeline recovers the known answer before applying it to the target.</w:t>
            </w:r>
          </w:p>
        </w:tc>
      </w:tr>
    </w:tbl>
    <w:p>
      <w:pPr>
        <w:spacing w:after="40"/>
      </w:pPr>
    </w:p>
    <w:p>
      <w:pPr>
        <w:spacing w:after="180"/>
      </w:pPr>
      <w:r>
        <w:t xml:space="preserve">Before we trust the pipeline on our target, we prove it works on a case where we already know the answer — the exact same way Stage 1 was de-risked before mining. We run IP3–IP5 on the C. acetobutylicum data and check it recovers the textbook oxidative-defence genes (revRbr, fprA, rbr) with a Per box upstream. This is a REQUIRED gate: if the pipeline can’t find the known answer, we fix it here, not after wasting effort downstream. Do not move on to IP7 until this passes. The deliverable is a short validation report showing the known genes came back.</w:t>
      </w:r>
    </w:p>
    <w:p>
      <w:pPr>
        <w:pStyle w:val="Heading1"/>
      </w:pPr>
      <w:r>
        <w:t xml:space="preserve">Map to the target &amp; rank</w:t>
      </w:r>
    </w:p>
    <w:p>
      <w:pPr>
        <w:spacing w:after="140"/>
      </w:pPr>
      <w:r>
        <w:rPr>
          <w:i/>
          <w:iCs/>
        </w:rPr>
        <w:t xml:space="preserve">Carry the validated findings into C. butyricum and produce the ranked candidate list.</w:t>
      </w:r>
    </w:p>
    <w:p>
      <w:pPr>
        <w:pStyle w:val="Heading2"/>
      </w:pPr>
      <w:r>
        <w:t xml:space="preserve">IP7 Map the findings onto C. butyricum</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IP6</w:t>
      </w:r>
    </w:p>
    <w:p>
      <w:pPr>
        <w:spacing w:after="180"/>
      </w:pPr>
      <w:r>
        <w:t xml:space="preserve">Everything up to now ran on a relative; now we carry the findings over to our actual target genome. For each validated induced gene we find its C. butyricum equivalent (its ortholog) by best-match plus a gene-neighbourhood sanity check, confirm it’s still the first gene of its operon there, and re-find the Per box in the C. butyricum promoter. The big warning: a gene induced in a relative might be regulated differently in C. butyricum, so we require the Per box itself to be conserved, not just the gene. The output is the set of C. butyricum candidate promoters.</w:t>
      </w:r>
    </w:p>
    <w:p>
      <w:pPr>
        <w:pStyle w:val="Heading2"/>
      </w:pPr>
      <w:r>
        <w:t xml:space="preserve">IP8 Score, rank, and output the candidate list</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IP7</w:t>
      </w:r>
    </w:p>
    <w:p>
      <w:pPr>
        <w:spacing w:after="180"/>
      </w:pPr>
      <w:r>
        <w:t xml:space="preserve">We pull everything together into a ranked, wet-lab-ready list. We first gate on the essentials (statistically induced, a clean promoter, a Per box present), then rank on how strongly they switch (fold-induction), their ON-versus-OFF swing, and — importantly — how quiet they are when OFF, because a switch is only useful if it isn’t leaky. We also fold in a promoter-quality score from the Stage-1 models (T18–T20) and reuse the Stage-1 ranking and output machinery (T29–T32). The output is the candidate table the wet lab will actually clone.</w:t>
      </w:r>
    </w:p>
    <w:p>
      <w:pPr>
        <w:pStyle w:val="Heading1"/>
      </w:pPr>
      <w:r>
        <w:t xml:space="preserve">Wet-lab hand-off</w:t>
      </w:r>
    </w:p>
    <w:p>
      <w:pPr>
        <w:spacing w:after="140"/>
      </w:pPr>
      <w:r>
        <w:rPr>
          <w:i/>
          <w:iCs/>
        </w:rPr>
        <w:t xml:space="preserve">Deliver the candidates for reporter testing (your original steps 4–6).</w:t>
      </w:r>
    </w:p>
    <w:p>
      <w:pPr>
        <w:pStyle w:val="Heading2"/>
      </w:pPr>
      <w:r>
        <w:t xml:space="preserve">IP9 Hand off to the wet lab</w:t>
      </w:r>
    </w:p>
    <w:p>
      <w:pPr>
        <w:spacing w:after="40"/>
      </w:pPr>
      <w:r>
        <w:rPr>
          <w:b/>
          <w:bCs/>
        </w:rPr>
        <w:t xml:space="preserve">Owner: </w:t>
      </w:r>
      <w:r>
        <w:t xml:space="preserve">TBD</w:t>
      </w:r>
      <w:r>
        <w:rPr>
          <w:b/>
          <w:bCs/>
        </w:rPr>
        <w:t xml:space="preserve">    Due: </w:t>
      </w:r>
      <w:r>
        <w:t xml:space="preserve">TBD</w:t>
      </w:r>
      <w:r>
        <w:rPr>
          <w:b/>
          <w:bCs/>
        </w:rPr>
        <w:t xml:space="preserve">    Depends on: </w:t>
      </w:r>
      <w:r>
        <w:t xml:space="preserve">IP8</w:t>
      </w:r>
    </w:p>
    <w:p>
      <w:pPr>
        <w:spacing w:after="180"/>
      </w:pPr>
      <w:r>
        <w:t xml:space="preserve">The dry lab’s job ends with a ranked candidate list; the wet lab takes it from here. They clone about 100–300 bp of each candidate promoter in front of a fast reporter, test induction by comparing anaerobic versus brief versus longer air exposure — measuring both how much it turns on and how leaky it is when off — and then tune: lengthen the fragment or add the native regulator if it’s too weak, shorten it if it’s too leaky.</w:t>
      </w:r>
    </w:p>
    <w:p>
      <w:pPr>
        <w:pStyle w:val="Heading1"/>
      </w:pPr>
      <w:r>
        <w:t xml:space="preserve">Things to watch out for</w:t>
      </w:r>
    </w:p>
    <w:p>
      <w:pPr>
        <w:pStyle w:val="ListParagraph"/>
        <w:numPr>
          <w:ilvl w:val="0"/>
          <w:numId w:val="2"/>
        </w:numPr>
        <w:spacing w:after="80"/>
      </w:pPr>
      <w:r>
        <w:rPr>
          <w:b/>
          <w:bCs/>
        </w:rPr>
        <w:t xml:space="preserve">Induced is not the same as highly expressed.</w:t>
      </w:r>
      <w:r>
        <w:t xml:space="preserve"> Always rank on the fold-change between conditions, not on absolute expression — a loud housekeeping gene is not a switch.</w:t>
      </w:r>
    </w:p>
    <w:p>
      <w:pPr>
        <w:pStyle w:val="ListParagraph"/>
        <w:numPr>
          <w:ilvl w:val="0"/>
          <w:numId w:val="2"/>
        </w:numPr>
        <w:spacing w:after="80"/>
      </w:pPr>
      <w:r>
        <w:rPr>
          <w:b/>
          <w:bCs/>
        </w:rPr>
        <w:t xml:space="preserve">Air exposure is transient and toxic.</w:t>
      </w:r>
      <w:r>
        <w:t xml:space="preserve"> Oxygen kills anaerobes, so a long exposure gives you death and growth-arrest signatures, not clean induction. Use the earliest timepoint that shows the response.</w:t>
      </w:r>
    </w:p>
    <w:p>
      <w:pPr>
        <w:pStyle w:val="ListParagraph"/>
        <w:numPr>
          <w:ilvl w:val="0"/>
          <w:numId w:val="2"/>
        </w:numPr>
        <w:spacing w:after="80"/>
      </w:pPr>
      <w:r>
        <w:rPr>
          <w:b/>
          <w:bCs/>
        </w:rPr>
        <w:t xml:space="preserve">Leakiness usually decides usefulness.</w:t>
      </w:r>
      <w:r>
        <w:t xml:space="preserve"> A switch that’s noisy when it’s supposed to be OFF is useless — which is why low basal expression is a first-class ranking feature, not an afterthought.</w:t>
      </w:r>
    </w:p>
    <w:p>
      <w:pPr>
        <w:pStyle w:val="ListParagraph"/>
        <w:numPr>
          <w:ilvl w:val="0"/>
          <w:numId w:val="2"/>
        </w:numPr>
        <w:spacing w:after="80"/>
      </w:pPr>
      <w:r>
        <w:rPr>
          <w:b/>
          <w:bCs/>
        </w:rPr>
        <w:t xml:space="preserve">The Stage-1 models don’t find inducibility.</w:t>
      </w:r>
      <w:r>
        <w:t xml:space="preserve"> They score “is this a promoter,” not “does it switch.” Inducibility only comes from the RNA-seq data.</w:t>
      </w:r>
    </w:p>
    <w:p>
      <w:pPr>
        <w:pStyle w:val="ListParagraph"/>
        <w:numPr>
          <w:ilvl w:val="0"/>
          <w:numId w:val="2"/>
        </w:numPr>
        <w:spacing w:after="80"/>
      </w:pPr>
      <w:r>
        <w:rPr>
          <w:b/>
          <w:bCs/>
        </w:rPr>
        <w:t xml:space="preserve">Gene orthology is not regulatory orthology.</w:t>
      </w:r>
      <w:r>
        <w:t xml:space="preserve"> When we transfer to C. butyricum, we require the Per box itself to be conserved, because a gene can be induced in one species and constitutive in another.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2026-07-13T03:32:48.335Z</dcterms:created>
  <dcterms:modified xsi:type="dcterms:W3CDTF">2026-07-13T03:32:48.339Z</dcterms:modified>
</cp:coreProperties>
</file>

<file path=docProps/custom.xml><?xml version="1.0" encoding="utf-8"?>
<Properties xmlns="http://schemas.openxmlformats.org/officeDocument/2006/custom-properties" xmlns:vt="http://schemas.openxmlformats.org/officeDocument/2006/docPropsVTypes"/>
</file>