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Dry Lab: Computational Promoter Mining</w:t>
      </w:r>
    </w:p>
    <w:p>
      <w:pPr>
        <w:spacing w:after="60"/>
      </w:pPr>
      <w:r>
        <w:rPr>
          <w:color w:val="595959"/>
          <w:sz w:val="24"/>
          <w:szCs w:val="24"/>
        </w:rPr>
        <w:t xml:space="preserve">HKUST iGEM 2026</w:t>
      </w:r>
    </w:p>
    <w:p>
      <w:pPr>
        <w:pBdr>
          <w:bottom w:val="single" w:color="1F4E79" w:sz="12" w:space="4"/>
        </w:pBdr>
        <w:spacing w:after="200"/>
      </w:pPr>
      <w:r>
        <w:t xml:space="preserve"/>
      </w:r>
    </w:p>
    <w:p>
      <w:pPr>
        <w:pStyle w:val="Heading1"/>
        <w:spacing w:after="140" w:before="300"/>
      </w:pPr>
      <w:r>
        <w:t xml:space="preserve">Overview</w:t>
      </w:r>
    </w:p>
    <w:p>
      <w:pPr>
        <w:spacing w:after="140" w:line="276"/>
      </w:pPr>
      <w:r>
        <w:t xml:space="preserve">Our dry lab set out to solve a practical bottleneck for our wet lab. To build genetic circuits in our chassis organism, </w:t>
      </w:r>
      <w:r>
        <w:rPr>
          <w:i/>
          <w:iCs/>
        </w:rPr>
        <w:t xml:space="preserve">Clostridium butyricum</w:t>
      </w:r>
      <w:r>
        <w:t xml:space="preserve">, we need a toolkit of </w:t>
      </w:r>
      <w:r>
        <w:rPr>
          <w:b/>
          <w:bCs/>
        </w:rPr>
        <w:t xml:space="preserve">promoters</w:t>
      </w:r>
      <w:r>
        <w:t xml:space="preserve"> — the short stretches of DNA that switch genes on. Very few characterised promoters exist for </w:t>
      </w:r>
      <w:r>
        <w:rPr>
          <w:i/>
          <w:iCs/>
        </w:rPr>
        <w:t xml:space="preserve">Clostridium</w:t>
      </w:r>
      <w:r>
        <w:t xml:space="preserve">, so we built a computational pipeline that reads the organism's genome and predicts where its promoters are. Using an ensemble of three complementary machine-learning models, we scanned the entire genome of </w:t>
      </w:r>
      <w:r>
        <w:rPr>
          <w:i/>
          <w:iCs/>
        </w:rPr>
        <w:t xml:space="preserve">C. butyricum</w:t>
      </w:r>
      <w:r>
        <w:t xml:space="preserve"> DSM 10702 and produced a ranked, experimentally-testable shortlist of candidate constitutive promoters — 912 confident candidates, narrowing to 100 with complete, textbook promoter architecture ready for wet-lab validation.</w:t>
      </w:r>
    </w:p>
    <w:p>
      <w:pPr>
        <w:spacing w:after="140" w:line="276"/>
      </w:pPr>
      <w:r>
        <w:t xml:space="preserve">This page describes the biological problem, our design, the methods behind each stage of the pipeline, and the results.</w:t>
      </w:r>
    </w:p>
    <w:p>
      <w:pPr>
        <w:pStyle w:val="Heading1"/>
        <w:spacing w:after="140" w:before="300"/>
      </w:pPr>
      <w:r>
        <w:t xml:space="preserve">Background: what we looked for, and why it is hard</w:t>
      </w:r>
    </w:p>
    <w:p>
      <w:pPr>
        <w:pStyle w:val="Heading2"/>
        <w:spacing w:after="100" w:before="200"/>
      </w:pPr>
      <w:r>
        <w:t xml:space="preserve">What is a promoter?</w:t>
      </w:r>
    </w:p>
    <w:p>
      <w:pPr>
        <w:spacing w:after="140" w:line="276"/>
      </w:pPr>
      <w:r>
        <w:t xml:space="preserve">A promoter is a short stretch of DNA, usually just upstream of a gene, that tells the cell's machinery where to begin reading that gene and how strongly. In bacteria, a protein called a </w:t>
      </w:r>
      <w:r>
        <w:rPr>
          <w:b/>
          <w:bCs/>
        </w:rPr>
        <w:t xml:space="preserve">sigma factor</w:t>
      </w:r>
      <w:r>
        <w:t xml:space="preserve"> recognises two short conserved sequences within the promoter — the </w:t>
      </w:r>
      <w:r>
        <w:rPr>
          <w:b/>
          <w:bCs/>
        </w:rPr>
        <w:t xml:space="preserve">−10</w:t>
      </w:r>
      <w:r>
        <w:t xml:space="preserve"> and </w:t>
      </w:r>
      <w:r>
        <w:rPr>
          <w:b/>
          <w:bCs/>
        </w:rPr>
        <w:t xml:space="preserve">−35</w:t>
      </w:r>
      <w:r>
        <w:t xml:space="preserve"> boxes, named for their position relative to the transcription start site (the exact base where transcription begins). The most common “housekeeping” sigma factor, σᴬ, drives </w:t>
      </w:r>
      <w:r>
        <w:rPr>
          <w:b/>
          <w:bCs/>
        </w:rPr>
        <w:t xml:space="preserve">constitutive</w:t>
      </w:r>
      <w:r>
        <w:t xml:space="preserve"> (always-on) expression, and these σᴬ promoters were our Stage 1 target.</w:t>
      </w:r>
    </w:p>
    <w:p>
      <w:pPr>
        <w:spacing w:after="140" w:line="276"/>
      </w:pPr>
      <w:r>
        <w:t xml:space="preserve">For synthetic biology, promoters are essential parts: a well-characterised set of promoters of differing strengths lets you dial gene expression up or down. Providing such a set for an emerging chassis that currently has very few characterised parts is the point of our project.</w:t>
      </w:r>
    </w:p>
    <w:p>
      <w:pPr>
        <w:pStyle w:val="Heading2"/>
        <w:spacing w:after="100" w:before="200"/>
      </w:pPr>
      <w:r>
        <w:t xml:space="preserve">Why Clostridium makes this hard</w:t>
      </w:r>
    </w:p>
    <w:p>
      <w:pPr>
        <w:spacing w:after="140" w:line="276"/>
      </w:pPr>
      <w:r>
        <w:t xml:space="preserve">Two features of the biology work against easy prediction:</w:t>
      </w:r>
    </w:p>
    <w:p>
      <w:pPr>
        <w:pStyle w:val="ListParagraph"/>
        <w:numPr>
          <w:ilvl w:val="0"/>
          <w:numId w:val="1"/>
        </w:numPr>
        <w:spacing w:after="80" w:line="268"/>
      </w:pPr>
      <w:r>
        <w:rPr>
          <w:i/>
          <w:iCs/>
        </w:rPr>
        <w:t xml:space="preserve">Clostridium</w:t>
      </w:r>
      <w:r>
        <w:t xml:space="preserve"> genomes are extremely AT-rich (only about 28–32% G+C), and the promoter motifs are AT-rich too. As a result, ordinary non-promoter DNA frequently </w:t>
      </w:r>
      <w:r>
        <w:rPr>
          <w:i/>
          <w:iCs/>
        </w:rPr>
        <w:t xml:space="preserve">looks</w:t>
      </w:r>
      <w:r>
        <w:t xml:space="preserve"> like a promoter by chance, so naïve predictors produce enormous numbers of false positives.</w:t>
      </w:r>
    </w:p>
    <w:p>
      <w:pPr>
        <w:pStyle w:val="ListParagraph"/>
        <w:numPr>
          <w:ilvl w:val="0"/>
          <w:numId w:val="1"/>
        </w:numPr>
        <w:spacing w:after="80" w:line="268"/>
      </w:pPr>
      <w:r>
        <w:rPr>
          <w:b/>
          <w:bCs/>
        </w:rPr>
        <w:t xml:space="preserve">Promoters are rare. </w:t>
      </w:r>
      <w:r>
        <w:t xml:space="preserve">Only a fraction of a percent of all positions in a genome are true promoters. Because of this “base-rate” problem, even a model that is 90% specific would, slid across a genome the size of </w:t>
      </w:r>
      <w:r>
        <w:rPr>
          <w:i/>
          <w:iCs/>
        </w:rPr>
        <w:t xml:space="preserve">E. coli</w:t>
      </w:r>
      <w:r>
        <w:t xml:space="preserve">, flag on the order of hundreds of thousands of sites that are not real promoters — published estimates put this near 460,000.</w:t>
      </w:r>
    </w:p>
    <w:p>
      <w:pPr>
        <w:spacing w:after="140" w:line="276"/>
      </w:pPr>
      <w:r>
        <w:t xml:space="preserve">For these reasons we framed our deliverable honestly from the outset: the realistic goal is an </w:t>
      </w:r>
      <w:r>
        <w:rPr>
          <w:b/>
          <w:bCs/>
        </w:rPr>
        <w:t xml:space="preserve">enriched, ranked candidate list for experimental validation</w:t>
      </w:r>
      <w:r>
        <w:t xml:space="preserve">, not a perfect genome-wide map. Every design choice below aims to push real promoters to the top of that list while holding false positives down.</w:t>
      </w:r>
    </w:p>
    <w:p>
      <w:pPr>
        <w:pStyle w:val="Heading1"/>
        <w:spacing w:after="140" w:before="300"/>
      </w:pPr>
      <w:r>
        <w:t xml:space="preserve">Our approach: an ensemble of complementary DNA models</w:t>
      </w:r>
    </w:p>
    <w:p>
      <w:pPr>
        <w:spacing w:after="140" w:line="276"/>
      </w:pPr>
      <w:r>
        <w:t xml:space="preserve">No single model is reliable enough on its own, so we combined three very different kinds of DNA model and treated their agreement as a measure of confidence. The diversity is deliberate — each model “reads” DNA differently, so a site all three independently rank highly is far more likely to be real.</w:t>
      </w:r>
    </w:p>
    <w:p>
      <w:pPr>
        <w:pStyle w:val="ListParagraph"/>
        <w:numPr>
          <w:ilvl w:val="0"/>
          <w:numId w:val="1"/>
        </w:numPr>
        <w:spacing w:after="80" w:line="268"/>
      </w:pPr>
      <w:r>
        <w:rPr>
          <w:b/>
          <w:bCs/>
        </w:rPr>
        <w:t xml:space="preserve">A fine-tuned prokaryotic language model (ProkBERT). </w:t>
      </w:r>
      <w:r>
        <w:t xml:space="preserve">A BERT-style model pre-trained on large amounts of bacterial DNA, which we fine-tuned specifically to recognise promoters.</w:t>
      </w:r>
    </w:p>
    <w:p>
      <w:pPr>
        <w:pStyle w:val="ListParagraph"/>
        <w:numPr>
          <w:ilvl w:val="0"/>
          <w:numId w:val="1"/>
        </w:numPr>
        <w:spacing w:after="80" w:line="268"/>
      </w:pPr>
      <w:r>
        <w:rPr>
          <w:b/>
          <w:bCs/>
        </w:rPr>
        <w:t xml:space="preserve">A DNA foundation-model probe (Evo2). </w:t>
      </w:r>
      <w:r>
        <w:t xml:space="preserve">We take the internal representations of Evo2, a large genome foundation model from the Arc Institute, and train a lightweight classifier on top of them. The foundation model itself is left unchanged (“frozen”).</w:t>
      </w:r>
    </w:p>
    <w:p>
      <w:pPr>
        <w:pStyle w:val="ListParagraph"/>
        <w:numPr>
          <w:ilvl w:val="0"/>
          <w:numId w:val="1"/>
        </w:numPr>
        <w:spacing w:after="80" w:line="268"/>
      </w:pPr>
      <w:r>
        <w:rPr>
          <w:b/>
          <w:bCs/>
        </w:rPr>
        <w:t xml:space="preserve">A custom convolutional neural network (CNN), built from scratch. </w:t>
      </w:r>
      <w:r>
        <w:t xml:space="preserve">A compact model that fuses several complementary views of the sequence (one-hot bases, local base composition, and di-/tri-nucleotide frequencies). It is an independent control that learns motif signal directly.</w:t>
      </w:r>
    </w:p>
    <w:p>
      <w:pPr>
        <w:spacing w:after="140" w:line="276"/>
      </w:pPr>
      <w:r>
        <w:t xml:space="preserve">We combine the three by </w:t>
      </w:r>
      <w:r>
        <w:rPr>
          <w:b/>
          <w:bCs/>
        </w:rPr>
        <w:t xml:space="preserve">mean rank-percentile</w:t>
      </w:r>
      <w:r>
        <w:t xml:space="preserve">: within each model we rank every candidate window and convert it to a percentile, then average those percentiles across models. This is deliberately calibration-independent — it depends only on how each model </w:t>
      </w:r>
      <w:r>
        <w:rPr>
          <w:i/>
          <w:iCs/>
        </w:rPr>
        <w:t xml:space="preserve">orders</w:t>
      </w:r>
      <w:r>
        <w:t xml:space="preserve"> sites, not on the raw score values, so models that output scores on different scales still combine fairly.</w:t>
      </w:r>
    </w:p>
    <w:p>
      <w:pPr>
        <w:spacing w:after="140" w:line="276"/>
      </w:pPr>
      <w:r>
        <w:t xml:space="preserve">The work is organised into five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70"/>
              <w:left w:type="dxa" w:w="110"/>
              <w:bottom w:type="dxa" w:w="70"/>
              <w:right w:type="dxa" w:w="110"/>
            </w:tcMar>
          </w:tcPr>
          <w:p>
            <w:pPr>
              <w:spacing w:after="0" w:line="252"/>
            </w:pPr>
            <w:r>
              <w:rPr>
                <w:b/>
                <w:bCs/>
                <w:i w:val="false"/>
                <w:iCs w:val="false"/>
                <w:color w:val="FFFFFF"/>
                <w:sz w:val="20"/>
                <w:szCs w:val="20"/>
              </w:rPr>
              <w:t xml:space="preserve">Phase</w:t>
            </w:r>
          </w:p>
        </w:tc>
        <w:tc>
          <w:tcPr>
            <w:tcW w:type="dxa" w:w="6760"/>
            <w:shd w:fill="1F4E79" w:color="auto" w:val="clear"/>
            <w:tcMar>
              <w:top w:type="dxa" w:w="70"/>
              <w:left w:type="dxa" w:w="110"/>
              <w:bottom w:type="dxa" w:w="70"/>
              <w:right w:type="dxa" w:w="110"/>
            </w:tcMar>
          </w:tcPr>
          <w:p>
            <w:pPr>
              <w:spacing w:after="0" w:line="252"/>
            </w:pPr>
            <w:r>
              <w:rPr>
                <w:b/>
                <w:bCs/>
                <w:i w:val="false"/>
                <w:iCs w:val="false"/>
                <w:color w:val="FFFFFF"/>
                <w:sz w:val="20"/>
                <w:szCs w:val="20"/>
              </w:rPr>
              <w:t xml:space="preserve">What happens</w:t>
            </w:r>
          </w:p>
        </w:tc>
      </w:tr>
      <w:tr>
        <w:tc>
          <w:tcPr>
            <w:tcW w:type="dxa" w:w="2600"/>
            <w:tcMar>
              <w:top w:type="dxa" w:w="70"/>
              <w:left w:type="dxa" w:w="110"/>
              <w:bottom w:type="dxa" w:w="70"/>
              <w:right w:type="dxa" w:w="110"/>
            </w:tcMar>
          </w:tcPr>
          <w:p>
            <w:pPr>
              <w:spacing w:after="0" w:line="252"/>
            </w:pPr>
            <w:r>
              <w:rPr>
                <w:b/>
                <w:bCs/>
                <w:i w:val="false"/>
                <w:iCs w:val="false"/>
                <w:color w:val="000000"/>
                <w:sz w:val="20"/>
                <w:szCs w:val="20"/>
              </w:rPr>
              <w:t xml:space="preserve">1. Data acquisition &amp; curation</w:t>
            </w:r>
          </w:p>
        </w:tc>
        <w:tc>
          <w:tcPr>
            <w:tcW w:type="dxa" w:w="6760"/>
            <w:tcMar>
              <w:top w:type="dxa" w:w="70"/>
              <w:left w:type="dxa" w:w="110"/>
              <w:bottom w:type="dxa" w:w="70"/>
              <w:right w:type="dxa" w:w="110"/>
            </w:tcMar>
          </w:tcPr>
          <w:p>
            <w:pPr>
              <w:spacing w:after="0" w:line="252"/>
            </w:pPr>
            <w:r>
              <w:rPr>
                <w:b w:val="false"/>
                <w:bCs w:val="false"/>
                <w:i w:val="false"/>
                <w:iCs w:val="false"/>
                <w:color w:val="000000"/>
                <w:sz w:val="20"/>
                <w:szCs w:val="20"/>
              </w:rPr>
              <w:t xml:space="preserve">Collect genomes and experimentally-verified promoters from the literature and public databases</w:t>
            </w:r>
          </w:p>
        </w:tc>
      </w:tr>
      <w:tr>
        <w:tc>
          <w:tcPr>
            <w:tcW w:type="dxa" w:w="2600"/>
            <w:shd w:fill="EAF1F8" w:color="auto" w:val="clear"/>
            <w:tcMar>
              <w:top w:type="dxa" w:w="70"/>
              <w:left w:type="dxa" w:w="110"/>
              <w:bottom w:type="dxa" w:w="70"/>
              <w:right w:type="dxa" w:w="110"/>
            </w:tcMar>
          </w:tcPr>
          <w:p>
            <w:pPr>
              <w:spacing w:after="0" w:line="252"/>
            </w:pPr>
            <w:r>
              <w:rPr>
                <w:b/>
                <w:bCs/>
                <w:i w:val="false"/>
                <w:iCs w:val="false"/>
                <w:color w:val="000000"/>
                <w:sz w:val="20"/>
                <w:szCs w:val="20"/>
              </w:rPr>
              <w:t xml:space="preserve">2. Dataset construction</w:t>
            </w:r>
          </w:p>
        </w:tc>
        <w:tc>
          <w:tcPr>
            <w:tcW w:type="dxa" w:w="676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Turn raw data into balanced, leak-free training examples: promoters vs. realistic non-promoters</w:t>
            </w:r>
          </w:p>
        </w:tc>
      </w:tr>
      <w:tr>
        <w:tc>
          <w:tcPr>
            <w:tcW w:type="dxa" w:w="2600"/>
            <w:tcMar>
              <w:top w:type="dxa" w:w="70"/>
              <w:left w:type="dxa" w:w="110"/>
              <w:bottom w:type="dxa" w:w="70"/>
              <w:right w:type="dxa" w:w="110"/>
            </w:tcMar>
          </w:tcPr>
          <w:p>
            <w:pPr>
              <w:spacing w:after="0" w:line="252"/>
            </w:pPr>
            <w:r>
              <w:rPr>
                <w:b/>
                <w:bCs/>
                <w:i w:val="false"/>
                <w:iCs w:val="false"/>
                <w:color w:val="000000"/>
                <w:sz w:val="20"/>
                <w:szCs w:val="20"/>
              </w:rPr>
              <w:t xml:space="preserve">3. Model training</w:t>
            </w:r>
          </w:p>
        </w:tc>
        <w:tc>
          <w:tcPr>
            <w:tcW w:type="dxa" w:w="6760"/>
            <w:tcMar>
              <w:top w:type="dxa" w:w="70"/>
              <w:left w:type="dxa" w:w="110"/>
              <w:bottom w:type="dxa" w:w="70"/>
              <w:right w:type="dxa" w:w="110"/>
            </w:tcMar>
          </w:tcPr>
          <w:p>
            <w:pPr>
              <w:spacing w:after="0" w:line="252"/>
            </w:pPr>
            <w:r>
              <w:rPr>
                <w:b w:val="false"/>
                <w:bCs w:val="false"/>
                <w:i w:val="false"/>
                <w:iCs w:val="false"/>
                <w:color w:val="000000"/>
                <w:sz w:val="20"/>
                <w:szCs w:val="20"/>
              </w:rPr>
              <w:t xml:space="preserve">Train and tune the three models</w:t>
            </w:r>
          </w:p>
        </w:tc>
      </w:tr>
      <w:tr>
        <w:tc>
          <w:tcPr>
            <w:tcW w:type="dxa" w:w="2600"/>
            <w:shd w:fill="EAF1F8" w:color="auto" w:val="clear"/>
            <w:tcMar>
              <w:top w:type="dxa" w:w="70"/>
              <w:left w:type="dxa" w:w="110"/>
              <w:bottom w:type="dxa" w:w="70"/>
              <w:right w:type="dxa" w:w="110"/>
            </w:tcMar>
          </w:tcPr>
          <w:p>
            <w:pPr>
              <w:spacing w:after="0" w:line="252"/>
            </w:pPr>
            <w:r>
              <w:rPr>
                <w:b/>
                <w:bCs/>
                <w:i w:val="false"/>
                <w:iCs w:val="false"/>
                <w:color w:val="000000"/>
                <w:sz w:val="20"/>
                <w:szCs w:val="20"/>
              </w:rPr>
              <w:t xml:space="preserve">4. Evaluation &amp; calibration</w:t>
            </w:r>
          </w:p>
        </w:tc>
        <w:tc>
          <w:tcPr>
            <w:tcW w:type="dxa" w:w="676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Test performance under realistic, genome-scale conditions and correct for AT-content bias</w:t>
            </w:r>
          </w:p>
        </w:tc>
      </w:tr>
      <w:tr>
        <w:tc>
          <w:tcPr>
            <w:tcW w:type="dxa" w:w="2600"/>
            <w:tcMar>
              <w:top w:type="dxa" w:w="70"/>
              <w:left w:type="dxa" w:w="110"/>
              <w:bottom w:type="dxa" w:w="70"/>
              <w:right w:type="dxa" w:w="110"/>
            </w:tcMar>
          </w:tcPr>
          <w:p>
            <w:pPr>
              <w:spacing w:after="0" w:line="252"/>
            </w:pPr>
            <w:r>
              <w:rPr>
                <w:b/>
                <w:bCs/>
                <w:i w:val="false"/>
                <w:iCs w:val="false"/>
                <w:color w:val="000000"/>
                <w:sz w:val="20"/>
                <w:szCs w:val="20"/>
              </w:rPr>
              <w:t xml:space="preserve">5. Mining &amp; annotation</w:t>
            </w:r>
          </w:p>
        </w:tc>
        <w:tc>
          <w:tcPr>
            <w:tcW w:type="dxa" w:w="6760"/>
            <w:tcMar>
              <w:top w:type="dxa" w:w="70"/>
              <w:left w:type="dxa" w:w="110"/>
              <w:bottom w:type="dxa" w:w="70"/>
              <w:right w:type="dxa" w:w="110"/>
            </w:tcMar>
          </w:tcPr>
          <w:p>
            <w:pPr>
              <w:spacing w:after="0" w:line="252"/>
            </w:pPr>
            <w:r>
              <w:rPr>
                <w:b w:val="false"/>
                <w:bCs w:val="false"/>
                <w:i w:val="false"/>
                <w:iCs w:val="false"/>
                <w:color w:val="000000"/>
                <w:sz w:val="20"/>
                <w:szCs w:val="20"/>
              </w:rPr>
              <w:t xml:space="preserve">Scan the target genome, combine models, call peaks, and confirm promoter motifs</w:t>
            </w:r>
          </w:p>
        </w:tc>
      </w:tr>
    </w:tbl>
    <w:p>
      <w:pPr>
        <w:spacing w:after="100"/>
      </w:pPr>
      <w:r>
        <w:t xml:space="preserve"/>
      </w:r>
    </w:p>
    <w:p>
      <w:pPr>
        <w:pStyle w:val="Heading1"/>
        <w:spacing w:after="140" w:before="300"/>
      </w:pPr>
      <w:r>
        <w:t xml:space="preserve">Methods</w:t>
      </w:r>
    </w:p>
    <w:p>
      <w:pPr>
        <w:pStyle w:val="Heading2"/>
        <w:spacing w:after="100" w:before="200"/>
      </w:pPr>
      <w:r>
        <w:t xml:space="preserve">1. Data acquisition &amp; curation</w:t>
      </w:r>
    </w:p>
    <w:p>
      <w:pPr>
        <w:spacing w:after="140" w:line="276"/>
      </w:pPr>
      <w:r>
        <w:t xml:space="preserve">Because promoters are defined by real biology, data quality matters more than any modelling trick. We assembled real promoters (“positives”) from several complementary sources:</w:t>
      </w:r>
    </w:p>
    <w:p>
      <w:pPr>
        <w:pStyle w:val="ListParagraph"/>
        <w:numPr>
          <w:ilvl w:val="0"/>
          <w:numId w:val="1"/>
        </w:numPr>
        <w:spacing w:after="80" w:line="268"/>
      </w:pPr>
      <w:r>
        <w:rPr>
          <w:b/>
          <w:bCs/>
        </w:rPr>
        <w:t xml:space="preserve">166 Clostridium genomes </w:t>
      </w:r>
      <w:r>
        <w:t xml:space="preserve">as the genomic background where promoters live. Crucially, the target organism </w:t>
      </w:r>
      <w:r>
        <w:rPr>
          <w:i/>
          <w:iCs/>
        </w:rPr>
        <w:t xml:space="preserve">C. butyricum</w:t>
      </w:r>
      <w:r>
        <w:t xml:space="preserve"> DSM 10702 was </w:t>
      </w:r>
      <w:r>
        <w:rPr>
          <w:b/>
          <w:bCs/>
        </w:rPr>
        <w:t xml:space="preserve">deliberately excluded</w:t>
      </w:r>
      <w:r>
        <w:t xml:space="preserve"> from all training, so our final predictions on it are a genuine test, not memorisation.</w:t>
      </w:r>
    </w:p>
    <w:p>
      <w:pPr>
        <w:pStyle w:val="ListParagraph"/>
        <w:numPr>
          <w:ilvl w:val="0"/>
          <w:numId w:val="1"/>
        </w:numPr>
        <w:spacing w:after="80" w:line="268"/>
      </w:pPr>
      <w:r>
        <w:rPr>
          <w:b/>
          <w:bCs/>
        </w:rPr>
        <w:t xml:space="preserve">Curated cross-species promoters </w:t>
      </w:r>
      <w:r>
        <w:t xml:space="preserve">from two well-studied bacteria — </w:t>
      </w:r>
      <w:r>
        <w:rPr>
          <w:i/>
          <w:iCs/>
        </w:rPr>
        <w:t xml:space="preserve">E. coli</w:t>
      </w:r>
      <w:r>
        <w:t xml:space="preserve"> (from the RegulonDB database) and the AT-rich </w:t>
      </w:r>
      <w:r>
        <w:rPr>
          <w:i/>
          <w:iCs/>
        </w:rPr>
        <w:t xml:space="preserve">Bacillus subtilis</w:t>
      </w:r>
      <w:r>
        <w:t xml:space="preserve"> (from DBTBS). These teach the models general promoter grammar; </w:t>
      </w:r>
      <w:r>
        <w:rPr>
          <w:i/>
          <w:iCs/>
        </w:rPr>
        <w:t xml:space="preserve">B. subtilis</w:t>
      </w:r>
      <w:r>
        <w:t xml:space="preserve"> is included specifically because, like </w:t>
      </w:r>
      <w:r>
        <w:rPr>
          <w:i/>
          <w:iCs/>
        </w:rPr>
        <w:t xml:space="preserve">Clostridium</w:t>
      </w:r>
      <w:r>
        <w:t xml:space="preserve">, it is AT-rich.</w:t>
      </w:r>
    </w:p>
    <w:p>
      <w:pPr>
        <w:pStyle w:val="ListParagraph"/>
        <w:numPr>
          <w:ilvl w:val="0"/>
          <w:numId w:val="1"/>
        </w:numPr>
        <w:spacing w:after="80" w:line="268"/>
      </w:pPr>
      <w:r>
        <w:rPr>
          <w:b/>
          <w:bCs/>
        </w:rPr>
        <w:t xml:space="preserve">Experimentally-mapped promoters from other AT-rich relatives </w:t>
      </w:r>
      <w:r>
        <w:t xml:space="preserve">(</w:t>
      </w:r>
      <w:r>
        <w:rPr>
          <w:i/>
          <w:iCs/>
        </w:rPr>
        <w:t xml:space="preserve">Bacillus licheniformis</w:t>
      </w:r>
      <w:r>
        <w:t xml:space="preserve"> and </w:t>
      </w:r>
      <w:r>
        <w:rPr>
          <w:i/>
          <w:iCs/>
        </w:rPr>
        <w:t xml:space="preserve">Ruminiclostridium cellulolyticum</w:t>
      </w:r>
      <w:r>
        <w:t xml:space="preserve">).</w:t>
      </w:r>
    </w:p>
    <w:p>
      <w:pPr>
        <w:pStyle w:val="ListParagraph"/>
        <w:numPr>
          <w:ilvl w:val="0"/>
          <w:numId w:val="1"/>
        </w:numPr>
        <w:spacing w:after="80" w:line="268"/>
      </w:pPr>
      <w:r>
        <w:rPr>
          <w:b/>
          <w:bCs/>
        </w:rPr>
        <w:t xml:space="preserve">In-genus experimental promoters </w:t>
      </w:r>
      <w:r>
        <w:t xml:space="preserve">from close relatives </w:t>
      </w:r>
      <w:r>
        <w:rPr>
          <w:i/>
          <w:iCs/>
        </w:rPr>
        <w:t xml:space="preserve">C. acetobutylicum</w:t>
      </w:r>
      <w:r>
        <w:t xml:space="preserve"> and </w:t>
      </w:r>
      <w:r>
        <w:rPr>
          <w:i/>
          <w:iCs/>
        </w:rPr>
        <w:t xml:space="preserve">C. beijerinckii</w:t>
      </w:r>
      <w:r>
        <w:t xml:space="preserve">, taken from published transcription-start-site datasets — the most directly relevant positives.</w:t>
      </w:r>
    </w:p>
    <w:p>
      <w:pPr>
        <w:pStyle w:val="ListParagraph"/>
        <w:numPr>
          <w:ilvl w:val="0"/>
          <w:numId w:val="1"/>
        </w:numPr>
        <w:spacing w:after="80" w:line="268"/>
      </w:pPr>
      <w:r>
        <w:rPr>
          <w:b/>
          <w:bCs/>
        </w:rPr>
        <w:t xml:space="preserve">Housekeeping-gene upstream regions </w:t>
      </w:r>
      <w:r>
        <w:t xml:space="preserve">as weaker “silver” labels: likely but not experimentally confirmed promoters, which we deliberately down-weight so they cannot dominate training.</w:t>
      </w:r>
    </w:p>
    <w:p>
      <w:pPr>
        <w:spacing w:after="140" w:line="276"/>
      </w:pPr>
      <w:r>
        <w:t xml:space="preserve">All genomes were re-annotated consistently, and we curated the transcription-start-site literature carefully — keeping the different experimental assay types separate and always using each dataset with the genome it was actually measured on. In the deployed training set this yielded roughly 25,000 verified positive promoters (about 19,000 in-genus and 6,000 cross-species).</w:t>
      </w:r>
    </w:p>
    <w:p>
      <w:pPr>
        <w:pStyle w:val="Heading2"/>
        <w:spacing w:after="100" w:before="200"/>
      </w:pPr>
      <w:r>
        <w:t xml:space="preserve">2. Teaching the models what is not a promoter</w:t>
      </w:r>
    </w:p>
    <w:p>
      <w:pPr>
        <w:spacing w:after="140" w:line="276"/>
      </w:pPr>
      <w:r>
        <w:t xml:space="preserve">The single most important defence against the AT-rich false-positive trap is showing the models realistic negatives. We built four classes of negative example:</w:t>
      </w:r>
    </w:p>
    <w:p>
      <w:pPr>
        <w:pStyle w:val="ListParagraph"/>
        <w:numPr>
          <w:ilvl w:val="0"/>
          <w:numId w:val="1"/>
        </w:numPr>
        <w:spacing w:after="80" w:line="268"/>
      </w:pPr>
      <w:r>
        <w:t xml:space="preserve">coding-sequence windows (inside genes);</w:t>
      </w:r>
    </w:p>
    <w:p>
      <w:pPr>
        <w:pStyle w:val="ListParagraph"/>
        <w:numPr>
          <w:ilvl w:val="0"/>
          <w:numId w:val="1"/>
        </w:numPr>
        <w:spacing w:after="80" w:line="268"/>
      </w:pPr>
      <w:r>
        <w:t xml:space="preserve">intergenic regions that are not promoters;</w:t>
      </w:r>
    </w:p>
    <w:p>
      <w:pPr>
        <w:pStyle w:val="ListParagraph"/>
        <w:numPr>
          <w:ilvl w:val="0"/>
          <w:numId w:val="1"/>
        </w:numPr>
        <w:spacing w:after="80" w:line="268"/>
      </w:pPr>
      <w:r>
        <w:t xml:space="preserve">regions downstream of genes; and</w:t>
      </w:r>
    </w:p>
    <w:p>
      <w:pPr>
        <w:pStyle w:val="ListParagraph"/>
        <w:numPr>
          <w:ilvl w:val="0"/>
          <w:numId w:val="1"/>
        </w:numPr>
        <w:spacing w:after="80" w:line="268"/>
      </w:pPr>
      <w:r>
        <w:rPr>
          <w:b/>
          <w:bCs/>
        </w:rPr>
        <w:t xml:space="preserve">shuffled real promoters</w:t>
      </w:r>
      <w:r>
        <w:t xml:space="preserve"> — real promoter sequences scrambled so that their exact base composition is preserved (they stay just as AT-rich) but the −10/−35 signal is destroyed.</w:t>
      </w:r>
    </w:p>
    <w:p>
      <w:pPr>
        <w:spacing w:after="140" w:line="276"/>
      </w:pPr>
      <w:r>
        <w:t xml:space="preserve">That last class is the key: it forces the models to key on the actual promoter motif rather than on AT-richness alone, mirroring established best practice in the field.</w:t>
      </w:r>
    </w:p>
    <w:p>
      <w:pPr>
        <w:pStyle w:val="Heading2"/>
        <w:spacing w:after="100" w:before="200"/>
      </w:pPr>
      <w:r>
        <w:t xml:space="preserve">3. Dataset construction</w:t>
      </w:r>
    </w:p>
    <w:p>
      <w:pPr>
        <w:spacing w:after="140" w:line="276"/>
      </w:pPr>
      <w:r>
        <w:t xml:space="preserve">We standardised every example to an 81-base-pair window centred on the promoter, giving roughly 50,000 windows split evenly between promoters and non-promoters. To stop the models from “cheating” by memorising near-identical sequences, we clustered all sequences by similarity and ensured that similar sequences were never split across the training, validation, and test sets. We also carried a per-example confidence weight through training (down-weighting the silver labels) and balanced the two classes so the models were not biased by prevalence.</w:t>
      </w:r>
    </w:p>
    <w:p>
      <w:pPr>
        <w:pStyle w:val="Heading2"/>
        <w:spacing w:after="100" w:before="200"/>
      </w:pPr>
      <w:r>
        <w:t xml:space="preserve">4. Model training</w:t>
      </w:r>
    </w:p>
    <w:p>
      <w:pPr>
        <w:spacing w:after="140" w:line="276"/>
      </w:pPr>
      <w:r>
        <w:t xml:space="preserve">Each model was trained and then tuned with a systematic hyperparameter search:</w:t>
      </w:r>
    </w:p>
    <w:p>
      <w:pPr>
        <w:pStyle w:val="ListParagraph"/>
        <w:numPr>
          <w:ilvl w:val="0"/>
          <w:numId w:val="1"/>
        </w:numPr>
        <w:spacing w:after="80" w:line="268"/>
      </w:pPr>
      <w:r>
        <w:t xml:space="preserve">ProkBERT was fine-tuned end-to-end for promoter classification.</w:t>
      </w:r>
    </w:p>
    <w:p>
      <w:pPr>
        <w:pStyle w:val="ListParagraph"/>
        <w:numPr>
          <w:ilvl w:val="0"/>
          <w:numId w:val="1"/>
        </w:numPr>
        <w:spacing w:after="80" w:line="268"/>
      </w:pPr>
      <w:r>
        <w:t xml:space="preserve">The Evo2 probe was trained on frozen embeddings from the 7-billion-parameter Evo2 model — an efficient approach needing only about one GPU-hour per genome scan.</w:t>
      </w:r>
    </w:p>
    <w:p>
      <w:pPr>
        <w:pStyle w:val="ListParagraph"/>
        <w:numPr>
          <w:ilvl w:val="0"/>
          <w:numId w:val="1"/>
        </w:numPr>
        <w:spacing w:after="80" w:line="268"/>
      </w:pPr>
      <w:r>
        <w:t xml:space="preserve">The custom CNN was trained from scratch on the fused sequence encodings.</w:t>
      </w:r>
    </w:p>
    <w:p>
      <w:pPr>
        <w:spacing w:after="140" w:line="276"/>
      </w:pPr>
      <w:r>
        <w:t xml:space="preserve">We selected and compared models on </w:t>
      </w:r>
      <w:r>
        <w:rPr>
          <w:b/>
          <w:bCs/>
        </w:rPr>
        <w:t xml:space="preserve">AUPRC</w:t>
      </w:r>
      <w:r>
        <w:t xml:space="preserve"> (area under the precision–recall curve), the appropriate metric for rare-event problems like this one.</w:t>
      </w:r>
    </w:p>
    <w:p>
      <w:pPr>
        <w:pStyle w:val="Heading2"/>
        <w:spacing w:after="100" w:before="200"/>
      </w:pPr>
      <w:r>
        <w:t xml:space="preserve">5. Evaluation &amp; calibration</w:t>
      </w:r>
    </w:p>
    <w:p>
      <w:pPr>
        <w:spacing w:after="140" w:line="276"/>
      </w:pPr>
      <w:r>
        <w:t xml:space="preserve">We evaluated every model under three increasingly realistic conditions:</w:t>
      </w:r>
    </w:p>
    <w:p>
      <w:pPr>
        <w:pStyle w:val="ListParagraph"/>
        <w:numPr>
          <w:ilvl w:val="0"/>
          <w:numId w:val="1"/>
        </w:numPr>
        <w:spacing w:after="80" w:line="268"/>
      </w:pPr>
      <w:r>
        <w:rPr>
          <w:b/>
          <w:bCs/>
        </w:rPr>
        <w:t xml:space="preserve">A balanced test set </w:t>
      </w:r>
      <w:r>
        <w:t xml:space="preserve">(equal promoters and non-promoters) — the standard benchmark.</w:t>
      </w:r>
    </w:p>
    <w:p>
      <w:pPr>
        <w:pStyle w:val="ListParagraph"/>
        <w:numPr>
          <w:ilvl w:val="0"/>
          <w:numId w:val="1"/>
        </w:numPr>
        <w:spacing w:after="80" w:line="268"/>
      </w:pPr>
      <w:r>
        <w:rPr>
          <w:b/>
          <w:bCs/>
        </w:rPr>
        <w:t xml:space="preserve">A cross-species holdout </w:t>
      </w:r>
      <w:r>
        <w:t xml:space="preserve">— promoters from species and sequences never seen in training.</w:t>
      </w:r>
    </w:p>
    <w:p>
      <w:pPr>
        <w:pStyle w:val="ListParagraph"/>
        <w:numPr>
          <w:ilvl w:val="0"/>
          <w:numId w:val="1"/>
        </w:numPr>
        <w:spacing w:after="80" w:line="268"/>
      </w:pPr>
      <w:r>
        <w:rPr>
          <w:b/>
          <w:bCs/>
        </w:rPr>
        <w:t xml:space="preserve">A genome-scale false-positive benchmark </w:t>
      </w:r>
      <w:r>
        <w:t xml:space="preserve">— scanning entire held-out genomes, which reproduces the real base-rate problem.</w:t>
      </w:r>
    </w:p>
    <w:p>
      <w:pPr>
        <w:spacing w:after="140" w:line="276"/>
      </w:pPr>
      <w:r>
        <w:t xml:space="preserve">We then calibrated the scores to account for local AT-content and estimated an empirical false-discovery rate, so that the confidence attached to each candidate is meaningful.</w:t>
      </w:r>
    </w:p>
    <w:p>
      <w:pPr>
        <w:pStyle w:val="Heading2"/>
        <w:spacing w:after="100" w:before="200"/>
      </w:pPr>
      <w:r>
        <w:t xml:space="preserve">6. Mining &amp; annotation</w:t>
      </w:r>
    </w:p>
    <w:p>
      <w:pPr>
        <w:spacing w:after="140" w:line="276"/>
      </w:pPr>
      <w:r>
        <w:t xml:space="preserve">Finally, we slid all three models across the target genome, combined them by rank-percentile, and collapsed neighbouring high-scoring windows into distinct promoter “calls.” Each call was then checked for genuine promoter architecture using motif analysis — searching for correctly-spaced −10 and −35 boxes recognised by the σᴬ sigma factor. The output is a single ranked candidate table.</w:t>
      </w:r>
    </w:p>
    <w:p>
      <w:pPr>
        <w:pStyle w:val="Heading1"/>
        <w:spacing w:after="140" w:before="300"/>
      </w:pPr>
      <w:r>
        <w:t xml:space="preserve">A key engineering insight: balanced accuracy is not genome-scale performance</w:t>
      </w:r>
    </w:p>
    <w:p>
      <w:pPr>
        <w:spacing w:after="140" w:line="276"/>
      </w:pPr>
      <w:r>
        <w:t xml:space="preserve">The most important lesson of the project — and the reason we use an ensemble — is that a model's score on a tidy, balanced test set can be a poor guide to how it behaves on a real genome. When we put six candidate models on the same genome-scale benchmark, the rankings reshuffled dramatically:</w:t>
      </w:r>
    </w:p>
    <w:p>
      <w:pPr>
        <w:pStyle w:val="ListParagraph"/>
        <w:numPr>
          <w:ilvl w:val="0"/>
          <w:numId w:val="1"/>
        </w:numPr>
        <w:spacing w:after="80" w:line="268"/>
      </w:pPr>
      <w:r>
        <w:t xml:space="preserve">One large transformer model achieved the </w:t>
      </w:r>
      <w:r>
        <w:rPr>
          <w:b/>
          <w:bCs/>
        </w:rPr>
        <w:t xml:space="preserve">best</w:t>
      </w:r>
      <w:r>
        <w:t xml:space="preserve"> balanced score of any model, yet was the </w:t>
      </w:r>
      <w:r>
        <w:rPr>
          <w:b/>
          <w:bCs/>
        </w:rPr>
        <w:t xml:space="preserve">worst</w:t>
      </w:r>
      <w:r>
        <w:t xml:space="preserve"> at genome scale, producing far too many false positives.</w:t>
      </w:r>
    </w:p>
    <w:p>
      <w:pPr>
        <w:pStyle w:val="ListParagraph"/>
        <w:numPr>
          <w:ilvl w:val="0"/>
          <w:numId w:val="1"/>
        </w:numPr>
        <w:spacing w:after="80" w:line="268"/>
      </w:pPr>
      <w:r>
        <w:t xml:space="preserve">The Evo2 foundation-model probe had the </w:t>
      </w:r>
      <w:r>
        <w:rPr>
          <w:b/>
          <w:bCs/>
        </w:rPr>
        <w:t xml:space="preserve">lowest</w:t>
      </w:r>
      <w:r>
        <w:t xml:space="preserve"> balanced score, yet was the </w:t>
      </w:r>
      <w:r>
        <w:rPr>
          <w:b/>
          <w:bCs/>
        </w:rPr>
        <w:t xml:space="preserve">best</w:t>
      </w:r>
      <w:r>
        <w:t xml:space="preserve"> at genome scale, with the fewest false positives on both held-out genomes.</w:t>
      </w:r>
    </w:p>
    <w:p>
      <w:pPr>
        <w:spacing w:after="140" w:line="276"/>
      </w:pPr>
      <w:r>
        <w:t xml:space="preserve">This is exactly the trap the base-rate problem sets, and it is invisible if you look only at balanced accuracy. It led us to choose our three deployment models on genome-scale behaviour, and to combine them so their different strengths reinforce one another. We consider this evaluation methodology — insisting on a genome-scale, base-rate-realistic benchmark — one of our project's main contributions.</w:t>
      </w:r>
    </w:p>
    <w:p>
      <w:pPr>
        <w:pStyle w:val="Heading1"/>
        <w:spacing w:after="140" w:before="300"/>
      </w:pPr>
      <w:r>
        <w:t xml:space="preserve">Results</w:t>
      </w:r>
    </w:p>
    <w:p>
      <w:pPr>
        <w:pStyle w:val="Heading2"/>
        <w:spacing w:after="100" w:before="200"/>
      </w:pPr>
      <w:r>
        <w:t xml:space="preserve">Validating the ensemble</w:t>
      </w:r>
    </w:p>
    <w:p>
      <w:pPr>
        <w:spacing w:after="140" w:line="276"/>
      </w:pPr>
      <w:r>
        <w:t xml:space="preserve">Before mining the target, we validated the three-model ensemble on two </w:t>
      </w:r>
      <w:r>
        <w:rPr>
          <w:i/>
          <w:iCs/>
        </w:rPr>
        <w:t xml:space="preserve">Clostridium</w:t>
      </w:r>
      <w:r>
        <w:t xml:space="preserve"> genomes that were held out of training entirely and for which experimentally-mapped promoters are available (</w:t>
      </w:r>
      <w:r>
        <w:rPr>
          <w:i/>
          <w:iCs/>
        </w:rPr>
        <w:t xml:space="preserve">C. ljungdahlii</w:t>
      </w:r>
      <w:r>
        <w:t xml:space="preserve"> and </w:t>
      </w:r>
      <w:r>
        <w:rPr>
          <w:i/>
          <w:iCs/>
        </w:rPr>
        <w:t xml:space="preserve">C. autoethanogenum</w:t>
      </w:r>
      <w:r>
        <w:t xml:space="preserve">). On both genomes the ensemble was the strongest caller — better than any single model — detecting the same true promoters with fewer false positives. The table reports precision (the fraction of predictions that are correct) at 50%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shd w:fill="1F4E79" w:color="auto" w:val="clear"/>
            <w:tcMar>
              <w:top w:type="dxa" w:w="70"/>
              <w:left w:type="dxa" w:w="110"/>
              <w:bottom w:type="dxa" w:w="70"/>
              <w:right w:type="dxa" w:w="110"/>
            </w:tcMar>
          </w:tcPr>
          <w:p>
            <w:pPr>
              <w:spacing w:after="0" w:line="252"/>
            </w:pPr>
            <w:r>
              <w:rPr>
                <w:b/>
                <w:bCs/>
                <w:i w:val="false"/>
                <w:iCs w:val="false"/>
                <w:color w:val="FFFFFF"/>
                <w:sz w:val="20"/>
                <w:szCs w:val="20"/>
              </w:rPr>
              <w:t xml:space="preserve">Model</w:t>
            </w:r>
          </w:p>
        </w:tc>
        <w:tc>
          <w:tcPr>
            <w:tcW w:type="dxa" w:w="2800"/>
            <w:shd w:fill="1F4E79" w:color="auto" w:val="clear"/>
            <w:tcMar>
              <w:top w:type="dxa" w:w="70"/>
              <w:left w:type="dxa" w:w="110"/>
              <w:bottom w:type="dxa" w:w="70"/>
              <w:right w:type="dxa" w:w="110"/>
            </w:tcMar>
          </w:tcPr>
          <w:p>
            <w:pPr>
              <w:spacing w:after="0" w:line="252"/>
            </w:pPr>
            <w:r>
              <w:rPr>
                <w:b/>
                <w:bCs/>
                <w:i w:val="false"/>
                <w:iCs w:val="false"/>
                <w:color w:val="FFFFFF"/>
                <w:sz w:val="20"/>
                <w:szCs w:val="20"/>
              </w:rPr>
              <w:t xml:space="preserve">C. ljungdahlii</w:t>
            </w:r>
          </w:p>
        </w:tc>
        <w:tc>
          <w:tcPr>
            <w:tcW w:type="dxa" w:w="2800"/>
            <w:shd w:fill="1F4E79" w:color="auto" w:val="clear"/>
            <w:tcMar>
              <w:top w:type="dxa" w:w="70"/>
              <w:left w:type="dxa" w:w="110"/>
              <w:bottom w:type="dxa" w:w="70"/>
              <w:right w:type="dxa" w:w="110"/>
            </w:tcMar>
          </w:tcPr>
          <w:p>
            <w:pPr>
              <w:spacing w:after="0" w:line="252"/>
            </w:pPr>
            <w:r>
              <w:rPr>
                <w:b/>
                <w:bCs/>
                <w:i w:val="false"/>
                <w:iCs w:val="false"/>
                <w:color w:val="FFFFFF"/>
                <w:sz w:val="20"/>
                <w:szCs w:val="20"/>
              </w:rPr>
              <w:t xml:space="preserve">C. autoethanogenum</w:t>
            </w:r>
          </w:p>
        </w:tc>
      </w:tr>
      <w:tr>
        <w:tc>
          <w:tcPr>
            <w:tcW w:type="dxa" w:w="3760"/>
            <w:tcMar>
              <w:top w:type="dxa" w:w="70"/>
              <w:left w:type="dxa" w:w="110"/>
              <w:bottom w:type="dxa" w:w="70"/>
              <w:right w:type="dxa" w:w="110"/>
            </w:tcMar>
          </w:tcPr>
          <w:p>
            <w:pPr>
              <w:spacing w:after="0" w:line="252"/>
            </w:pPr>
            <w:r>
              <w:rPr>
                <w:b/>
                <w:bCs/>
                <w:i w:val="false"/>
                <w:iCs w:val="false"/>
                <w:color w:val="000000"/>
                <w:sz w:val="20"/>
                <w:szCs w:val="20"/>
              </w:rPr>
              <w:t xml:space="preserve">Evo2 probe</w:t>
            </w:r>
          </w:p>
        </w:tc>
        <w:tc>
          <w:tcPr>
            <w:tcW w:type="dxa" w:w="2800"/>
            <w:tcMar>
              <w:top w:type="dxa" w:w="70"/>
              <w:left w:type="dxa" w:w="110"/>
              <w:bottom w:type="dxa" w:w="70"/>
              <w:right w:type="dxa" w:w="110"/>
            </w:tcMar>
          </w:tcPr>
          <w:p>
            <w:pPr>
              <w:spacing w:after="0" w:line="252"/>
            </w:pPr>
            <w:r>
              <w:rPr>
                <w:b w:val="false"/>
                <w:bCs w:val="false"/>
                <w:i w:val="false"/>
                <w:iCs w:val="false"/>
                <w:color w:val="000000"/>
                <w:sz w:val="20"/>
                <w:szCs w:val="20"/>
              </w:rPr>
              <w:t xml:space="preserve">58%</w:t>
            </w:r>
          </w:p>
        </w:tc>
        <w:tc>
          <w:tcPr>
            <w:tcW w:type="dxa" w:w="2800"/>
            <w:tcMar>
              <w:top w:type="dxa" w:w="70"/>
              <w:left w:type="dxa" w:w="110"/>
              <w:bottom w:type="dxa" w:w="70"/>
              <w:right w:type="dxa" w:w="110"/>
            </w:tcMar>
          </w:tcPr>
          <w:p>
            <w:pPr>
              <w:spacing w:after="0" w:line="252"/>
            </w:pPr>
            <w:r>
              <w:rPr>
                <w:b w:val="false"/>
                <w:bCs w:val="false"/>
                <w:i w:val="false"/>
                <w:iCs w:val="false"/>
                <w:color w:val="000000"/>
                <w:sz w:val="20"/>
                <w:szCs w:val="20"/>
              </w:rPr>
              <w:t xml:space="preserve">71%</w:t>
            </w:r>
          </w:p>
        </w:tc>
      </w:tr>
      <w:tr>
        <w:tc>
          <w:tcPr>
            <w:tcW w:type="dxa" w:w="3760"/>
            <w:shd w:fill="EAF1F8" w:color="auto" w:val="clear"/>
            <w:tcMar>
              <w:top w:type="dxa" w:w="70"/>
              <w:left w:type="dxa" w:w="110"/>
              <w:bottom w:type="dxa" w:w="70"/>
              <w:right w:type="dxa" w:w="110"/>
            </w:tcMar>
          </w:tcPr>
          <w:p>
            <w:pPr>
              <w:spacing w:after="0" w:line="252"/>
            </w:pPr>
            <w:r>
              <w:rPr>
                <w:b/>
                <w:bCs/>
                <w:i w:val="false"/>
                <w:iCs w:val="false"/>
                <w:color w:val="000000"/>
                <w:sz w:val="20"/>
                <w:szCs w:val="20"/>
              </w:rPr>
              <w:t xml:space="preserve">Custom CNN</w:t>
            </w:r>
          </w:p>
        </w:tc>
        <w:tc>
          <w:tcPr>
            <w:tcW w:type="dxa" w:w="280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47%</w:t>
            </w:r>
          </w:p>
        </w:tc>
        <w:tc>
          <w:tcPr>
            <w:tcW w:type="dxa" w:w="280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66%</w:t>
            </w:r>
          </w:p>
        </w:tc>
      </w:tr>
      <w:tr>
        <w:tc>
          <w:tcPr>
            <w:tcW w:type="dxa" w:w="3760"/>
            <w:tcMar>
              <w:top w:type="dxa" w:w="70"/>
              <w:left w:type="dxa" w:w="110"/>
              <w:bottom w:type="dxa" w:w="70"/>
              <w:right w:type="dxa" w:w="110"/>
            </w:tcMar>
          </w:tcPr>
          <w:p>
            <w:pPr>
              <w:spacing w:after="0" w:line="252"/>
            </w:pPr>
            <w:r>
              <w:rPr>
                <w:b/>
                <w:bCs/>
                <w:i w:val="false"/>
                <w:iCs w:val="false"/>
                <w:color w:val="000000"/>
                <w:sz w:val="20"/>
                <w:szCs w:val="20"/>
              </w:rPr>
              <w:t xml:space="preserve">ProkBERT</w:t>
            </w:r>
          </w:p>
        </w:tc>
        <w:tc>
          <w:tcPr>
            <w:tcW w:type="dxa" w:w="2800"/>
            <w:tcMar>
              <w:top w:type="dxa" w:w="70"/>
              <w:left w:type="dxa" w:w="110"/>
              <w:bottom w:type="dxa" w:w="70"/>
              <w:right w:type="dxa" w:w="110"/>
            </w:tcMar>
          </w:tcPr>
          <w:p>
            <w:pPr>
              <w:spacing w:after="0" w:line="252"/>
            </w:pPr>
            <w:r>
              <w:rPr>
                <w:b w:val="false"/>
                <w:bCs w:val="false"/>
                <w:i w:val="false"/>
                <w:iCs w:val="false"/>
                <w:color w:val="000000"/>
                <w:sz w:val="20"/>
                <w:szCs w:val="20"/>
              </w:rPr>
              <w:t xml:space="preserve">48%</w:t>
            </w:r>
          </w:p>
        </w:tc>
        <w:tc>
          <w:tcPr>
            <w:tcW w:type="dxa" w:w="2800"/>
            <w:tcMar>
              <w:top w:type="dxa" w:w="70"/>
              <w:left w:type="dxa" w:w="110"/>
              <w:bottom w:type="dxa" w:w="70"/>
              <w:right w:type="dxa" w:w="110"/>
            </w:tcMar>
          </w:tcPr>
          <w:p>
            <w:pPr>
              <w:spacing w:after="0" w:line="252"/>
            </w:pPr>
            <w:r>
              <w:rPr>
                <w:b w:val="false"/>
                <w:bCs w:val="false"/>
                <w:i w:val="false"/>
                <w:iCs w:val="false"/>
                <w:color w:val="000000"/>
                <w:sz w:val="20"/>
                <w:szCs w:val="20"/>
              </w:rPr>
              <w:t xml:space="preserve">65%</w:t>
            </w:r>
          </w:p>
        </w:tc>
      </w:tr>
      <w:tr>
        <w:tc>
          <w:tcPr>
            <w:tcW w:type="dxa" w:w="3760"/>
            <w:shd w:fill="EAF1F8" w:color="auto" w:val="clear"/>
            <w:tcMar>
              <w:top w:type="dxa" w:w="70"/>
              <w:left w:type="dxa" w:w="110"/>
              <w:bottom w:type="dxa" w:w="70"/>
              <w:right w:type="dxa" w:w="110"/>
            </w:tcMar>
          </w:tcPr>
          <w:p>
            <w:pPr>
              <w:spacing w:after="0" w:line="252"/>
            </w:pPr>
            <w:r>
              <w:rPr>
                <w:b/>
                <w:bCs/>
                <w:i w:val="false"/>
                <w:iCs w:val="false"/>
                <w:color w:val="000000"/>
                <w:sz w:val="20"/>
                <w:szCs w:val="20"/>
              </w:rPr>
              <w:t xml:space="preserve">Three-model ensemble</w:t>
            </w:r>
          </w:p>
        </w:tc>
        <w:tc>
          <w:tcPr>
            <w:tcW w:type="dxa" w:w="280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62%</w:t>
            </w:r>
          </w:p>
        </w:tc>
        <w:tc>
          <w:tcPr>
            <w:tcW w:type="dxa" w:w="280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77%</w:t>
            </w:r>
          </w:p>
        </w:tc>
      </w:tr>
    </w:tbl>
    <w:p>
      <w:pPr>
        <w:spacing w:after="200" w:line="260"/>
      </w:pPr>
      <w:r>
        <w:rPr>
          <w:i/>
          <w:iCs/>
          <w:color w:val="595959"/>
          <w:sz w:val="19"/>
          <w:szCs w:val="19"/>
        </w:rPr>
        <w:t xml:space="preserve">Precision at 50% recall on held-out genomes (higher is better). The ensemble leads on both.</w:t>
      </w:r>
    </w:p>
    <w:p>
      <w:pPr>
        <w:spacing w:after="140" w:line="276"/>
      </w:pPr>
      <w:r>
        <w:t xml:space="preserve">On the balanced benchmark the individual models scored highly (AUPRC around 0.88 for ProkBERT and 0.85 for the CNN), but — as explained above — those numbers do not by themselves predict genome-scale success, which is why the ensemble was validated on whole genomes before use.</w:t>
      </w:r>
    </w:p>
    <w:p>
      <w:pPr>
        <w:pStyle w:val="Heading2"/>
        <w:spacing w:after="100" w:before="200"/>
      </w:pPr>
      <w:r>
        <w:t xml:space="preserve">Mining the target genome</w:t>
      </w:r>
    </w:p>
    <w:p>
      <w:pPr>
        <w:spacing w:after="140" w:line="276"/>
      </w:pPr>
      <w:r>
        <w:t xml:space="preserve">We then applied the validated ensemble to </w:t>
      </w:r>
      <w:r>
        <w:rPr>
          <w:i/>
          <w:iCs/>
        </w:rPr>
        <w:t xml:space="preserve">C. butyricum</w:t>
      </w:r>
      <w:r>
        <w:t xml:space="preserve"> DSM 10702. The pipeline narrows a whole-genome scan down to a focused, testable shortlist: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shd w:fill="1F4E79" w:color="auto" w:val="clear"/>
            <w:tcMar>
              <w:top w:type="dxa" w:w="70"/>
              <w:left w:type="dxa" w:w="110"/>
              <w:bottom w:type="dxa" w:w="70"/>
              <w:right w:type="dxa" w:w="110"/>
            </w:tcMar>
          </w:tcPr>
          <w:p>
            <w:pPr>
              <w:spacing w:after="0" w:line="252"/>
            </w:pPr>
            <w:r>
              <w:rPr>
                <w:b/>
                <w:bCs/>
                <w:i w:val="false"/>
                <w:iCs w:val="false"/>
                <w:color w:val="FFFFFF"/>
                <w:sz w:val="20"/>
                <w:szCs w:val="20"/>
              </w:rPr>
              <w:t xml:space="preserve">Stage</w:t>
            </w:r>
          </w:p>
        </w:tc>
        <w:tc>
          <w:tcPr>
            <w:tcW w:type="dxa" w:w="2300"/>
            <w:shd w:fill="1F4E79" w:color="auto" w:val="clear"/>
            <w:tcMar>
              <w:top w:type="dxa" w:w="70"/>
              <w:left w:type="dxa" w:w="110"/>
              <w:bottom w:type="dxa" w:w="70"/>
              <w:right w:type="dxa" w:w="110"/>
            </w:tcMar>
          </w:tcPr>
          <w:p>
            <w:pPr>
              <w:spacing w:after="0" w:line="252"/>
            </w:pPr>
            <w:r>
              <w:rPr>
                <w:b/>
                <w:bCs/>
                <w:i w:val="false"/>
                <w:iCs w:val="false"/>
                <w:color w:val="FFFFFF"/>
                <w:sz w:val="20"/>
                <w:szCs w:val="20"/>
              </w:rPr>
              <w:t xml:space="preserve">Count</w:t>
            </w:r>
          </w:p>
        </w:tc>
      </w:tr>
      <w:tr>
        <w:tc>
          <w:tcPr>
            <w:tcW w:type="dxa" w:w="7060"/>
            <w:tcMar>
              <w:top w:type="dxa" w:w="70"/>
              <w:left w:type="dxa" w:w="110"/>
              <w:bottom w:type="dxa" w:w="70"/>
              <w:right w:type="dxa" w:w="110"/>
            </w:tcMar>
          </w:tcPr>
          <w:p>
            <w:pPr>
              <w:spacing w:after="0" w:line="252"/>
            </w:pPr>
            <w:r>
              <w:rPr>
                <w:b/>
                <w:bCs/>
                <w:i w:val="false"/>
                <w:iCs w:val="false"/>
                <w:color w:val="000000"/>
                <w:sz w:val="20"/>
                <w:szCs w:val="20"/>
              </w:rPr>
              <w:t xml:space="preserve">Candidate windows scored across the genome</w:t>
            </w:r>
          </w:p>
        </w:tc>
        <w:tc>
          <w:tcPr>
            <w:tcW w:type="dxa" w:w="2300"/>
            <w:tcMar>
              <w:top w:type="dxa" w:w="70"/>
              <w:left w:type="dxa" w:w="110"/>
              <w:bottom w:type="dxa" w:w="70"/>
              <w:right w:type="dxa" w:w="110"/>
            </w:tcMar>
          </w:tcPr>
          <w:p>
            <w:pPr>
              <w:spacing w:after="0" w:line="252"/>
            </w:pPr>
            <w:r>
              <w:rPr>
                <w:b w:val="false"/>
                <w:bCs w:val="false"/>
                <w:i w:val="false"/>
                <w:iCs w:val="false"/>
                <w:color w:val="000000"/>
                <w:sz w:val="20"/>
                <w:szCs w:val="20"/>
              </w:rPr>
              <w:t xml:space="preserve">173,947</w:t>
            </w:r>
          </w:p>
        </w:tc>
      </w:tr>
      <w:tr>
        <w:tc>
          <w:tcPr>
            <w:tcW w:type="dxa" w:w="7060"/>
            <w:shd w:fill="EAF1F8" w:color="auto" w:val="clear"/>
            <w:tcMar>
              <w:top w:type="dxa" w:w="70"/>
              <w:left w:type="dxa" w:w="110"/>
              <w:bottom w:type="dxa" w:w="70"/>
              <w:right w:type="dxa" w:w="110"/>
            </w:tcMar>
          </w:tcPr>
          <w:p>
            <w:pPr>
              <w:spacing w:after="0" w:line="252"/>
            </w:pPr>
            <w:r>
              <w:rPr>
                <w:b/>
                <w:bCs/>
                <w:i w:val="false"/>
                <w:iCs w:val="false"/>
                <w:color w:val="000000"/>
                <w:sz w:val="20"/>
                <w:szCs w:val="20"/>
              </w:rPr>
              <w:t xml:space="preserve">High-scoring windows (ensemble score ≥ 0.9)</w:t>
            </w:r>
          </w:p>
        </w:tc>
        <w:tc>
          <w:tcPr>
            <w:tcW w:type="dxa" w:w="230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10,933</w:t>
            </w:r>
          </w:p>
        </w:tc>
      </w:tr>
      <w:tr>
        <w:tc>
          <w:tcPr>
            <w:tcW w:type="dxa" w:w="7060"/>
            <w:tcMar>
              <w:top w:type="dxa" w:w="70"/>
              <w:left w:type="dxa" w:w="110"/>
              <w:bottom w:type="dxa" w:w="70"/>
              <w:right w:type="dxa" w:w="110"/>
            </w:tcMar>
          </w:tcPr>
          <w:p>
            <w:pPr>
              <w:spacing w:after="0" w:line="252"/>
            </w:pPr>
            <w:r>
              <w:rPr>
                <w:b/>
                <w:bCs/>
                <w:i w:val="false"/>
                <w:iCs w:val="false"/>
                <w:color w:val="000000"/>
                <w:sz w:val="20"/>
                <w:szCs w:val="20"/>
              </w:rPr>
              <w:t xml:space="preserve">Distinct promoter calls</w:t>
            </w:r>
          </w:p>
        </w:tc>
        <w:tc>
          <w:tcPr>
            <w:tcW w:type="dxa" w:w="2300"/>
            <w:tcMar>
              <w:top w:type="dxa" w:w="70"/>
              <w:left w:type="dxa" w:w="110"/>
              <w:bottom w:type="dxa" w:w="70"/>
              <w:right w:type="dxa" w:w="110"/>
            </w:tcMar>
          </w:tcPr>
          <w:p>
            <w:pPr>
              <w:spacing w:after="0" w:line="252"/>
            </w:pPr>
            <w:r>
              <w:rPr>
                <w:b w:val="false"/>
                <w:bCs w:val="false"/>
                <w:i w:val="false"/>
                <w:iCs w:val="false"/>
                <w:color w:val="000000"/>
                <w:sz w:val="20"/>
                <w:szCs w:val="20"/>
              </w:rPr>
              <w:t xml:space="preserve">3,167</w:t>
            </w:r>
          </w:p>
        </w:tc>
      </w:tr>
      <w:tr>
        <w:tc>
          <w:tcPr>
            <w:tcW w:type="dxa" w:w="7060"/>
            <w:shd w:fill="EAF1F8" w:color="auto" w:val="clear"/>
            <w:tcMar>
              <w:top w:type="dxa" w:w="70"/>
              <w:left w:type="dxa" w:w="110"/>
              <w:bottom w:type="dxa" w:w="70"/>
              <w:right w:type="dxa" w:w="110"/>
            </w:tcMar>
          </w:tcPr>
          <w:p>
            <w:pPr>
              <w:spacing w:after="0" w:line="252"/>
            </w:pPr>
            <w:r>
              <w:rPr>
                <w:b/>
                <w:bCs/>
                <w:i w:val="false"/>
                <w:iCs w:val="false"/>
                <w:color w:val="000000"/>
                <w:sz w:val="20"/>
                <w:szCs w:val="20"/>
              </w:rPr>
              <w:t xml:space="preserve">Confident candidates (multiple supporting windows)</w:t>
            </w:r>
          </w:p>
        </w:tc>
        <w:tc>
          <w:tcPr>
            <w:tcW w:type="dxa" w:w="230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912</w:t>
            </w:r>
          </w:p>
        </w:tc>
      </w:tr>
      <w:tr>
        <w:tc>
          <w:tcPr>
            <w:tcW w:type="dxa" w:w="7060"/>
            <w:tcMar>
              <w:top w:type="dxa" w:w="70"/>
              <w:left w:type="dxa" w:w="110"/>
              <w:bottom w:type="dxa" w:w="70"/>
              <w:right w:type="dxa" w:w="110"/>
            </w:tcMar>
          </w:tcPr>
          <w:p>
            <w:pPr>
              <w:spacing w:after="0" w:line="252"/>
            </w:pPr>
            <w:r>
              <w:rPr>
                <w:b/>
                <w:bCs/>
                <w:i w:val="false"/>
                <w:iCs w:val="false"/>
                <w:color w:val="000000"/>
                <w:sz w:val="20"/>
                <w:szCs w:val="20"/>
              </w:rPr>
              <w:t xml:space="preserve">Candidates with a correctly-placed −10 box</w:t>
            </w:r>
          </w:p>
        </w:tc>
        <w:tc>
          <w:tcPr>
            <w:tcW w:type="dxa" w:w="2300"/>
            <w:tcMar>
              <w:top w:type="dxa" w:w="70"/>
              <w:left w:type="dxa" w:w="110"/>
              <w:bottom w:type="dxa" w:w="70"/>
              <w:right w:type="dxa" w:w="110"/>
            </w:tcMar>
          </w:tcPr>
          <w:p>
            <w:pPr>
              <w:spacing w:after="0" w:line="252"/>
            </w:pPr>
            <w:r>
              <w:rPr>
                <w:b w:val="false"/>
                <w:bCs w:val="false"/>
                <w:i w:val="false"/>
                <w:iCs w:val="false"/>
                <w:color w:val="000000"/>
                <w:sz w:val="20"/>
                <w:szCs w:val="20"/>
              </w:rPr>
              <w:t xml:space="preserve">306</w:t>
            </w:r>
          </w:p>
        </w:tc>
      </w:tr>
      <w:tr>
        <w:tc>
          <w:tcPr>
            <w:tcW w:type="dxa" w:w="7060"/>
            <w:shd w:fill="EAF1F8" w:color="auto" w:val="clear"/>
            <w:tcMar>
              <w:top w:type="dxa" w:w="70"/>
              <w:left w:type="dxa" w:w="110"/>
              <w:bottom w:type="dxa" w:w="70"/>
              <w:right w:type="dxa" w:w="110"/>
            </w:tcMar>
          </w:tcPr>
          <w:p>
            <w:pPr>
              <w:spacing w:after="0" w:line="252"/>
            </w:pPr>
            <w:r>
              <w:rPr>
                <w:b/>
                <w:bCs/>
                <w:i w:val="false"/>
                <w:iCs w:val="false"/>
                <w:color w:val="000000"/>
                <w:sz w:val="20"/>
                <w:szCs w:val="20"/>
              </w:rPr>
              <w:t xml:space="preserve">Canonical candidates (both −10 and −35 boxes)</w:t>
            </w:r>
          </w:p>
        </w:tc>
        <w:tc>
          <w:tcPr>
            <w:tcW w:type="dxa" w:w="2300"/>
            <w:shd w:fill="EAF1F8" w:color="auto" w:val="clear"/>
            <w:tcMar>
              <w:top w:type="dxa" w:w="70"/>
              <w:left w:type="dxa" w:w="110"/>
              <w:bottom w:type="dxa" w:w="70"/>
              <w:right w:type="dxa" w:w="110"/>
            </w:tcMar>
          </w:tcPr>
          <w:p>
            <w:pPr>
              <w:spacing w:after="0" w:line="252"/>
            </w:pPr>
            <w:r>
              <w:rPr>
                <w:b w:val="false"/>
                <w:bCs w:val="false"/>
                <w:i w:val="false"/>
                <w:iCs w:val="false"/>
                <w:color w:val="000000"/>
                <w:sz w:val="20"/>
                <w:szCs w:val="20"/>
              </w:rPr>
              <w:t xml:space="preserve">100</w:t>
            </w:r>
          </w:p>
        </w:tc>
      </w:tr>
    </w:tbl>
    <w:p>
      <w:pPr>
        <w:spacing w:after="200" w:line="260"/>
      </w:pPr>
      <w:r>
        <w:rPr>
          <w:i/>
          <w:iCs/>
          <w:color w:val="595959"/>
          <w:sz w:val="19"/>
          <w:szCs w:val="19"/>
        </w:rPr>
        <w:t xml:space="preserve">Each stage is a stricter filter; the tiers are nested (the 100 canonical candidates are the strongest subset of the 306, which are a subset of the 912).</w:t>
      </w:r>
    </w:p>
    <w:p>
      <w:pPr>
        <w:spacing w:after="140" w:line="276"/>
      </w:pPr>
      <w:r>
        <w:t xml:space="preserve">The 912 confident candidates form the full ranked list; the </w:t>
      </w:r>
      <w:r>
        <w:rPr>
          <w:b/>
          <w:bCs/>
        </w:rPr>
        <w:t xml:space="preserve">100 canonical candidates</w:t>
      </w:r>
      <w:r>
        <w:t xml:space="preserve"> — those with complete, textbook σᴬ promoter architecture — are the highest-priority shortlist for experimental validation. These three nested tiers are handed to the wet lab as ranked tables.</w:t>
      </w:r>
    </w:p>
    <w:p>
      <w:pPr>
        <w:pStyle w:val="Heading2"/>
        <w:spacing w:after="100" w:before="200"/>
      </w:pPr>
      <w:r>
        <w:t xml:space="preserve">Deliverables</w:t>
      </w:r>
    </w:p>
    <w:p>
      <w:pPr>
        <w:pStyle w:val="ListParagraph"/>
        <w:numPr>
          <w:ilvl w:val="0"/>
          <w:numId w:val="1"/>
        </w:numPr>
        <w:spacing w:after="80" w:line="268"/>
      </w:pPr>
      <w:r>
        <w:rPr>
          <w:b/>
          <w:bCs/>
        </w:rPr>
        <w:t xml:space="preserve">A ranked candidate promoter table </w:t>
      </w:r>
      <w:r>
        <w:t xml:space="preserve">for </w:t>
      </w:r>
      <w:r>
        <w:rPr>
          <w:i/>
          <w:iCs/>
        </w:rPr>
        <w:t xml:space="preserve">C. butyricum</w:t>
      </w:r>
      <w:r>
        <w:t xml:space="preserve"> DSM 10702, in three nested confidence tiers (912 / 306 / 100).</w:t>
      </w:r>
    </w:p>
    <w:p>
      <w:pPr>
        <w:pStyle w:val="ListParagraph"/>
        <w:numPr>
          <w:ilvl w:val="0"/>
          <w:numId w:val="1"/>
        </w:numPr>
        <w:spacing w:after="80" w:line="268"/>
      </w:pPr>
      <w:r>
        <w:rPr>
          <w:b/>
          <w:bCs/>
        </w:rPr>
        <w:t xml:space="preserve">Three trained, reusable promoter-prediction models.</w:t>
      </w:r>
    </w:p>
    <w:p>
      <w:pPr>
        <w:pStyle w:val="ListParagraph"/>
        <w:numPr>
          <w:ilvl w:val="0"/>
          <w:numId w:val="1"/>
        </w:numPr>
        <w:spacing w:after="80" w:line="268"/>
      </w:pPr>
      <w:r>
        <w:rPr>
          <w:b/>
          <w:bCs/>
        </w:rPr>
        <w:t xml:space="preserve">A complete, documented, reproducible pipeline </w:t>
      </w:r>
      <w:r>
        <w:t xml:space="preserve">from raw genome to candidate list.</w:t>
      </w:r>
    </w:p>
    <w:p>
      <w:pPr>
        <w:pStyle w:val="Heading1"/>
        <w:spacing w:after="140" w:before="300"/>
      </w:pPr>
      <w:r>
        <w:t xml:space="preserve">Contribution to the community</w:t>
      </w:r>
    </w:p>
    <w:p>
      <w:pPr>
        <w:spacing w:after="140" w:line="276"/>
      </w:pPr>
      <w:r>
        <w:t xml:space="preserve">In keeping with iGEM's open-science values, we are releasing our models and results for other teams and researchers to reuse:</w:t>
      </w:r>
    </w:p>
    <w:p>
      <w:pPr>
        <w:pStyle w:val="ListParagraph"/>
        <w:numPr>
          <w:ilvl w:val="0"/>
          <w:numId w:val="1"/>
        </w:numPr>
        <w:spacing w:after="80" w:line="268"/>
      </w:pPr>
      <w:r>
        <w:t xml:space="preserve">The three trained models are being published on the </w:t>
      </w:r>
      <w:r>
        <w:rPr>
          <w:b/>
          <w:bCs/>
        </w:rPr>
        <w:t xml:space="preserve">Hugging Face Hub</w:t>
      </w:r>
      <w:r>
        <w:t xml:space="preserve"> with full model cards, documented training data, and an honest account of their limitations (including the AT-rich false-positive caveat).</w:t>
      </w:r>
    </w:p>
    <w:p>
      <w:pPr>
        <w:pStyle w:val="ListParagraph"/>
        <w:numPr>
          <w:ilvl w:val="0"/>
          <w:numId w:val="1"/>
        </w:numPr>
        <w:spacing w:after="80" w:line="268"/>
      </w:pPr>
      <w:r>
        <w:t xml:space="preserve">The candidate promoter lists for </w:t>
      </w:r>
      <w:r>
        <w:rPr>
          <w:i/>
          <w:iCs/>
        </w:rPr>
        <w:t xml:space="preserve">C. butyricum</w:t>
      </w:r>
      <w:r>
        <w:t xml:space="preserve"> are shared as ranked tables.</w:t>
      </w:r>
    </w:p>
    <w:p>
      <w:pPr>
        <w:pStyle w:val="ListParagraph"/>
        <w:numPr>
          <w:ilvl w:val="0"/>
          <w:numId w:val="1"/>
        </w:numPr>
        <w:spacing w:after="80" w:line="268"/>
      </w:pPr>
      <w:r>
        <w:t xml:space="preserve">Our genome-scale, base-rate-realistic evaluation methodology — and the finding that balanced accuracy can badly mislead — is documented so other groups can avoid the same trap.</w:t>
      </w:r>
    </w:p>
    <w:p>
      <w:pPr>
        <w:pStyle w:val="Heading1"/>
        <w:spacing w:after="140" w:before="300"/>
      </w:pPr>
      <w:r>
        <w:t xml:space="preserve">Future work</w:t>
      </w:r>
    </w:p>
    <w:p>
      <w:pPr>
        <w:pStyle w:val="ListParagraph"/>
        <w:numPr>
          <w:ilvl w:val="0"/>
          <w:numId w:val="1"/>
        </w:numPr>
        <w:spacing w:after="80" w:line="268"/>
      </w:pPr>
      <w:r>
        <w:rPr>
          <w:b/>
          <w:bCs/>
        </w:rPr>
        <w:t xml:space="preserve">Experimental validation. </w:t>
      </w:r>
      <w:r>
        <w:t xml:space="preserve">The immediate next step is for the wet lab to test the top candidates — ideally confirming transcription start sites directly — to measure the true hit rate.</w:t>
      </w:r>
    </w:p>
    <w:p>
      <w:pPr>
        <w:pStyle w:val="ListParagraph"/>
        <w:numPr>
          <w:ilvl w:val="0"/>
          <w:numId w:val="1"/>
        </w:numPr>
        <w:spacing w:after="80" w:line="268"/>
      </w:pPr>
      <w:r>
        <w:rPr>
          <w:b/>
          <w:bCs/>
        </w:rPr>
        <w:t xml:space="preserve">Iterative refinement. </w:t>
      </w:r>
      <w:r>
        <w:t xml:space="preserve">A second round of training in which the models' most confident false positives (identified where we have ground truth) are fed back as additional “hard negatives” — a well-established way to further suppress the AT-rich false-positive rate. Mining and validation genomes are kept separate so the evaluation stays honest.</w:t>
      </w:r>
    </w:p>
    <w:p>
      <w:pPr>
        <w:pStyle w:val="ListParagraph"/>
        <w:numPr>
          <w:ilvl w:val="0"/>
          <w:numId w:val="1"/>
        </w:numPr>
        <w:spacing w:after="80" w:line="268"/>
      </w:pPr>
      <w:r>
        <w:rPr>
          <w:b/>
          <w:bCs/>
        </w:rPr>
        <w:t xml:space="preserve">Inducible promoters. </w:t>
      </w:r>
      <w:r>
        <w:t xml:space="preserve">Stage 1 targeted always-on (constitutive) promoters; a natural extension is to mine for inducible and alternative-sigma-factor promoters, broadening the toolkit.</w:t>
      </w:r>
    </w:p>
    <w:p>
      <w:pPr>
        <w:pStyle w:val="Heading1"/>
        <w:spacing w:after="140" w:before="300"/>
      </w:pPr>
      <w:r>
        <w:t xml:space="preserve">Data sources &amp; key references</w:t>
      </w:r>
    </w:p>
    <w:p>
      <w:pPr>
        <w:pStyle w:val="ListParagraph"/>
        <w:numPr>
          <w:ilvl w:val="0"/>
          <w:numId w:val="1"/>
        </w:numPr>
        <w:spacing w:after="80" w:line="268"/>
      </w:pPr>
      <w:r>
        <w:rPr>
          <w:b/>
          <w:bCs/>
        </w:rPr>
        <w:t xml:space="preserve">RegulonDB </w:t>
      </w:r>
      <w:r>
        <w:t xml:space="preserve">— </w:t>
      </w:r>
      <w:r>
        <w:rPr>
          <w:i/>
          <w:iCs/>
        </w:rPr>
        <w:t xml:space="preserve">Escherichia coli</w:t>
      </w:r>
      <w:r>
        <w:t xml:space="preserve"> transcriptional-regulation database.</w:t>
      </w:r>
    </w:p>
    <w:p>
      <w:pPr>
        <w:pStyle w:val="ListParagraph"/>
        <w:numPr>
          <w:ilvl w:val="0"/>
          <w:numId w:val="1"/>
        </w:numPr>
        <w:spacing w:after="80" w:line="268"/>
      </w:pPr>
      <w:r>
        <w:rPr>
          <w:b/>
          <w:bCs/>
        </w:rPr>
        <w:t xml:space="preserve">DBTBS </w:t>
      </w:r>
      <w:r>
        <w:t xml:space="preserve">— </w:t>
      </w:r>
      <w:r>
        <w:rPr>
          <w:i/>
          <w:iCs/>
        </w:rPr>
        <w:t xml:space="preserve">Bacillus subtilis</w:t>
      </w:r>
      <w:r>
        <w:t xml:space="preserve"> promoter/regulation database.</w:t>
      </w:r>
    </w:p>
    <w:p>
      <w:pPr>
        <w:pStyle w:val="ListParagraph"/>
        <w:numPr>
          <w:ilvl w:val="0"/>
          <w:numId w:val="1"/>
        </w:numPr>
        <w:spacing w:after="80" w:line="268"/>
      </w:pPr>
      <w:r>
        <w:rPr>
          <w:b/>
          <w:bCs/>
        </w:rPr>
        <w:t xml:space="preserve">Published Clostridium transcription-start-site datasets </w:t>
      </w:r>
      <w:r>
        <w:t xml:space="preserve">(e.g. Hocq et al., 2022).</w:t>
      </w:r>
    </w:p>
    <w:p>
      <w:pPr>
        <w:pStyle w:val="ListParagraph"/>
        <w:numPr>
          <w:ilvl w:val="0"/>
          <w:numId w:val="1"/>
        </w:numPr>
        <w:spacing w:after="80" w:line="268"/>
      </w:pPr>
      <w:r>
        <w:rPr>
          <w:b/>
          <w:bCs/>
        </w:rPr>
        <w:t xml:space="preserve">ProkBERT </w:t>
      </w:r>
      <w:r>
        <w:t xml:space="preserve">— Ligeti et al., </w:t>
      </w:r>
      <w:r>
        <w:rPr>
          <w:i/>
          <w:iCs/>
        </w:rPr>
        <w:t xml:space="preserve">Frontiers in Microbiology</w:t>
      </w:r>
      <w:r>
        <w:t xml:space="preserve">, 2024.</w:t>
      </w:r>
    </w:p>
    <w:p>
      <w:pPr>
        <w:pStyle w:val="ListParagraph"/>
        <w:numPr>
          <w:ilvl w:val="0"/>
          <w:numId w:val="1"/>
        </w:numPr>
        <w:spacing w:after="80" w:line="268"/>
      </w:pPr>
      <w:r>
        <w:rPr>
          <w:b/>
          <w:bCs/>
        </w:rPr>
        <w:t xml:space="preserve">Evo2 </w:t>
      </w:r>
      <w:r>
        <w:t xml:space="preserve">— genome foundation model, Arc Institute.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Calibri" w:cs="Calibri" w:eastAsia="Calibri" w:hAnsi="Calibri"/>
      <w:b/>
      <w:bCs/>
      <w:color w:val="1F4E79"/>
      <w:sz w:val="30"/>
      <w:szCs w:val="30"/>
    </w:rPr>
  </w:style>
  <w:style w:type="paragraph" w:styleId="Heading2">
    <w:name w:val="Heading 2"/>
    <w:basedOn w:val="Normal"/>
    <w:next w:val="Normal"/>
    <w:qFormat/>
    <w:pPr>
      <w:spacing w:after="100" w:before="20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2026-09-06T14:58:10.752Z</dcterms:created>
  <dcterms:modified xsi:type="dcterms:W3CDTF">2026-09-06T14:58:10.752Z</dcterms:modified>
</cp:coreProperties>
</file>

<file path=docProps/custom.xml><?xml version="1.0" encoding="utf-8"?>
<Properties xmlns="http://schemas.openxmlformats.org/officeDocument/2006/custom-properties" xmlns:vt="http://schemas.openxmlformats.org/officeDocument/2006/docPropsVTypes"/>
</file>