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855C1" w14:textId="6CAE962D" w:rsidR="00474CB0" w:rsidRPr="00D2278B" w:rsidRDefault="007305E4" w:rsidP="00DE531B">
      <w:pPr>
        <w:spacing w:line="360" w:lineRule="auto"/>
        <w:jc w:val="center"/>
        <w:rPr>
          <w:rFonts w:ascii="Times New Roman" w:hAnsi="Times New Roman" w:cs="Times New Roman"/>
          <w:b/>
          <w:bCs/>
          <w:sz w:val="32"/>
          <w:szCs w:val="36"/>
        </w:rPr>
      </w:pPr>
      <w:r w:rsidRPr="007305E4">
        <w:rPr>
          <w:rFonts w:ascii="Times New Roman" w:hAnsi="Times New Roman" w:cs="Times New Roman"/>
          <w:b/>
          <w:bCs/>
          <w:sz w:val="32"/>
          <w:szCs w:val="36"/>
        </w:rPr>
        <w:t>Competitive Adsorption of Nitrogen and Hydrogen on Catalyst Surfaces: Implications for Optimizing Ammonia Synthesis</w:t>
      </w:r>
      <w:r>
        <w:rPr>
          <w:rFonts w:ascii="Times New Roman" w:hAnsi="Times New Roman" w:cs="Times New Roman" w:hint="eastAsia"/>
          <w:b/>
          <w:bCs/>
          <w:sz w:val="32"/>
          <w:szCs w:val="36"/>
        </w:rPr>
        <w:t xml:space="preserve"> </w:t>
      </w:r>
    </w:p>
    <w:p w14:paraId="13AED4E6" w14:textId="77777777" w:rsidR="00AB7D3F" w:rsidRPr="00EE1B90" w:rsidRDefault="00AB7D3F" w:rsidP="001D16EC">
      <w:pPr>
        <w:spacing w:line="360" w:lineRule="auto"/>
        <w:jc w:val="both"/>
        <w:rPr>
          <w:rFonts w:ascii="Times New Roman" w:hAnsi="Times New Roman" w:cs="Times New Roman"/>
          <w:b/>
          <w:bCs/>
          <w:sz w:val="28"/>
          <w:szCs w:val="32"/>
        </w:rPr>
      </w:pPr>
    </w:p>
    <w:p w14:paraId="07452670" w14:textId="71596DD9" w:rsidR="00AB7D3F" w:rsidRDefault="00AB7D3F" w:rsidP="004448A3">
      <w:pPr>
        <w:spacing w:line="360" w:lineRule="auto"/>
        <w:jc w:val="right"/>
        <w:rPr>
          <w:rFonts w:ascii="Times New Roman" w:hAnsi="Times New Roman" w:cs="Times New Roman"/>
          <w:sz w:val="24"/>
          <w:szCs w:val="24"/>
        </w:rPr>
      </w:pPr>
      <w:r w:rsidRPr="00AB7D3F">
        <w:rPr>
          <w:rFonts w:ascii="Times New Roman" w:hAnsi="Times New Roman" w:cs="Times New Roman" w:hint="eastAsia"/>
          <w:sz w:val="24"/>
          <w:szCs w:val="24"/>
        </w:rPr>
        <w:t>Honghyun Kim</w:t>
      </w:r>
    </w:p>
    <w:p w14:paraId="309CDD96" w14:textId="77777777" w:rsidR="00AB7D3F" w:rsidRPr="00AB7D3F" w:rsidRDefault="00AB7D3F" w:rsidP="001D16EC">
      <w:pPr>
        <w:spacing w:line="360" w:lineRule="auto"/>
        <w:jc w:val="both"/>
        <w:rPr>
          <w:rFonts w:ascii="Times New Roman" w:hAnsi="Times New Roman" w:cs="Times New Roman"/>
          <w:sz w:val="24"/>
          <w:szCs w:val="24"/>
        </w:rPr>
      </w:pPr>
    </w:p>
    <w:p w14:paraId="63CEA00F" w14:textId="400329BC" w:rsidR="00474CB0" w:rsidRPr="00AB7D3F" w:rsidRDefault="00474CB0" w:rsidP="001D16EC">
      <w:pPr>
        <w:pStyle w:val="a3"/>
        <w:numPr>
          <w:ilvl w:val="0"/>
          <w:numId w:val="15"/>
        </w:numPr>
        <w:spacing w:line="360" w:lineRule="auto"/>
        <w:ind w:leftChars="0"/>
        <w:rPr>
          <w:rFonts w:ascii="Times New Roman" w:hAnsi="Times New Roman" w:cs="Times New Roman"/>
          <w:b/>
          <w:bCs/>
          <w:sz w:val="24"/>
          <w:szCs w:val="24"/>
        </w:rPr>
      </w:pPr>
      <w:r w:rsidRPr="00AB7D3F">
        <w:rPr>
          <w:rFonts w:ascii="Times New Roman" w:hAnsi="Times New Roman" w:cs="Times New Roman"/>
          <w:b/>
          <w:bCs/>
          <w:sz w:val="24"/>
          <w:szCs w:val="24"/>
        </w:rPr>
        <w:t>Introduction</w:t>
      </w:r>
    </w:p>
    <w:p w14:paraId="3324735E" w14:textId="77777777" w:rsidR="005A2742" w:rsidRPr="005A2742" w:rsidRDefault="005A2742" w:rsidP="001D16EC">
      <w:pPr>
        <w:spacing w:line="360" w:lineRule="auto"/>
        <w:ind w:firstLine="720"/>
        <w:jc w:val="both"/>
        <w:rPr>
          <w:rFonts w:ascii="Times New Roman" w:hAnsi="Times New Roman" w:cs="Times New Roman"/>
          <w:sz w:val="24"/>
          <w:szCs w:val="24"/>
        </w:rPr>
      </w:pPr>
      <w:r w:rsidRPr="005A2742">
        <w:rPr>
          <w:rFonts w:ascii="Times New Roman" w:hAnsi="Times New Roman" w:cs="Times New Roman"/>
          <w:sz w:val="24"/>
          <w:szCs w:val="24"/>
        </w:rPr>
        <w:t>The Haber-Bosch process is a critical industrial method for ammonia synthesis, utilizing the high-pressure catalytic reaction of nitrogen and hydrogen gases. Central to optimizing this reaction is understanding the competitive adsorption behavior of nitrogen and hydrogen on the catalyst surface. Adsorption dynamics directly impact the rate and efficiency of ammonia formation, with nitrogen and hydrogen competing for active sites on the catalyst. This competitive behavior, influenced by chemical potentials and interatomic interactions, plays a crucial role in determining the overall efficacy of the ammonia synthesis process.</w:t>
      </w:r>
    </w:p>
    <w:p w14:paraId="186AA60E" w14:textId="37E3B00D" w:rsidR="005A2742" w:rsidRPr="005A2742" w:rsidRDefault="005A2742" w:rsidP="001D16EC">
      <w:pPr>
        <w:spacing w:line="360" w:lineRule="auto"/>
        <w:ind w:firstLine="720"/>
        <w:jc w:val="both"/>
        <w:rPr>
          <w:rFonts w:ascii="Times New Roman" w:hAnsi="Times New Roman" w:cs="Times New Roman"/>
          <w:sz w:val="24"/>
          <w:szCs w:val="24"/>
        </w:rPr>
      </w:pPr>
      <w:r w:rsidRPr="005A2742">
        <w:rPr>
          <w:rFonts w:ascii="Times New Roman" w:hAnsi="Times New Roman" w:cs="Times New Roman"/>
          <w:sz w:val="24"/>
          <w:szCs w:val="24"/>
        </w:rPr>
        <w:t xml:space="preserve">Catalytic surfaces </w:t>
      </w:r>
      <w:r w:rsidR="006A4B8A">
        <w:rPr>
          <w:rFonts w:ascii="Times New Roman" w:hAnsi="Times New Roman" w:cs="Times New Roman"/>
          <w:sz w:val="24"/>
          <w:szCs w:val="24"/>
        </w:rPr>
        <w:t>d</w:t>
      </w:r>
      <w:r w:rsidR="006A4B8A" w:rsidRPr="005A2742">
        <w:rPr>
          <w:rFonts w:ascii="Times New Roman" w:hAnsi="Times New Roman" w:cs="Times New Roman"/>
          <w:sz w:val="24"/>
          <w:szCs w:val="24"/>
        </w:rPr>
        <w:t>isplay</w:t>
      </w:r>
      <w:r w:rsidRPr="005A2742">
        <w:rPr>
          <w:rFonts w:ascii="Times New Roman" w:hAnsi="Times New Roman" w:cs="Times New Roman"/>
          <w:sz w:val="24"/>
          <w:szCs w:val="24"/>
        </w:rPr>
        <w:t xml:space="preserve"> a complex interaction landscape, where adsorption energies and interaction forces between adsorbates shape the coverage patterns and reactivity. To optimize the conditions for ammonia synthesis, it is essential to systematically study the adsorption and interaction behavior of nitrogen and hydrogen under various conditions. Specifically, examining how adsorption behaviors </w:t>
      </w:r>
      <w:r w:rsidR="0055216E">
        <w:rPr>
          <w:rFonts w:ascii="Times New Roman" w:hAnsi="Times New Roman" w:cs="Times New Roman"/>
          <w:sz w:val="24"/>
          <w:szCs w:val="24"/>
        </w:rPr>
        <w:t>change</w:t>
      </w:r>
      <w:r w:rsidRPr="005A2742">
        <w:rPr>
          <w:rFonts w:ascii="Times New Roman" w:hAnsi="Times New Roman" w:cs="Times New Roman"/>
          <w:sz w:val="24"/>
          <w:szCs w:val="24"/>
        </w:rPr>
        <w:t xml:space="preserve"> with variations in chemical potential and interaction energies could reveal critical insights into maximizing surface availability for ammonia production. The challenge lies in characterizing these competitive adsorption dynamics and identifying conditions that enhance the balance between nitrogen and hydrogen coverage.</w:t>
      </w:r>
    </w:p>
    <w:p w14:paraId="6850873A" w14:textId="48784FAA" w:rsidR="005A2742" w:rsidRPr="005A2742" w:rsidRDefault="005A2742" w:rsidP="001D16EC">
      <w:pPr>
        <w:spacing w:line="360" w:lineRule="auto"/>
        <w:ind w:firstLine="720"/>
        <w:jc w:val="both"/>
        <w:rPr>
          <w:rFonts w:ascii="Times New Roman" w:hAnsi="Times New Roman" w:cs="Times New Roman"/>
          <w:sz w:val="24"/>
          <w:szCs w:val="24"/>
        </w:rPr>
      </w:pPr>
      <w:r w:rsidRPr="005A2742">
        <w:rPr>
          <w:rFonts w:ascii="Times New Roman" w:hAnsi="Times New Roman" w:cs="Times New Roman"/>
          <w:sz w:val="24"/>
          <w:szCs w:val="24"/>
        </w:rPr>
        <w:t xml:space="preserve">In this study, we employ a grand canonical Monte Carlo (GCMC) simulation to model the competitive adsorption of nitrogen and hydrogen on a 2D square lattice, mimicking the catalyst surface in a controlled and systematic manner. We vary the chemical potential of hydrogen, keeping nitrogen in excess, to investigate a range of chemical environments. A series of parameter sets is tested, representing ideal mixing, repulsive interactions, attractive interactions, immiscibility, and a scenario where "like dissolves unlike." By exploring these interaction profiles, </w:t>
      </w:r>
      <w:r w:rsidRPr="005A2742">
        <w:rPr>
          <w:rFonts w:ascii="Times New Roman" w:hAnsi="Times New Roman" w:cs="Times New Roman"/>
          <w:sz w:val="24"/>
          <w:szCs w:val="24"/>
        </w:rPr>
        <w:lastRenderedPageBreak/>
        <w:t>we aim to elucidate how the nature of adsorbate interactions impacts coverage patterns and, consequently, ammonia synthesis efficiency</w:t>
      </w:r>
      <w:r w:rsidR="007A5E62">
        <w:rPr>
          <w:rFonts w:ascii="Times New Roman" w:hAnsi="Times New Roman" w:cs="Times New Roman"/>
          <w:sz w:val="24"/>
          <w:szCs w:val="24"/>
        </w:rPr>
        <w:t xml:space="preserve"> through</w:t>
      </w:r>
      <w:r w:rsidRPr="005A2742">
        <w:rPr>
          <w:rFonts w:ascii="Times New Roman" w:hAnsi="Times New Roman" w:cs="Times New Roman"/>
          <w:sz w:val="24"/>
          <w:szCs w:val="24"/>
        </w:rPr>
        <w:t xml:space="preserve"> construct</w:t>
      </w:r>
      <w:r w:rsidR="007A5E62">
        <w:rPr>
          <w:rFonts w:ascii="Times New Roman" w:hAnsi="Times New Roman" w:cs="Times New Roman"/>
          <w:sz w:val="24"/>
          <w:szCs w:val="24"/>
        </w:rPr>
        <w:t>ing</w:t>
      </w:r>
      <w:r w:rsidRPr="005A2742">
        <w:rPr>
          <w:rFonts w:ascii="Times New Roman" w:hAnsi="Times New Roman" w:cs="Times New Roman"/>
          <w:sz w:val="24"/>
          <w:szCs w:val="24"/>
        </w:rPr>
        <w:t xml:space="preserve"> phase diagrams that highlight the coverage states of nitrogen and hydrogen under each interaction scenario. We further interpret the lattice configurations to discuss how competitive adsorption behaviors influence catalyst performance and ammonia synthesis rates. </w:t>
      </w:r>
      <w:r w:rsidR="008C7AF4">
        <w:rPr>
          <w:rFonts w:ascii="Times New Roman" w:hAnsi="Times New Roman" w:cs="Times New Roman"/>
          <w:sz w:val="24"/>
          <w:szCs w:val="24"/>
        </w:rPr>
        <w:t>These findings</w:t>
      </w:r>
      <w:r w:rsidRPr="005A2742">
        <w:rPr>
          <w:rFonts w:ascii="Times New Roman" w:hAnsi="Times New Roman" w:cs="Times New Roman"/>
          <w:sz w:val="24"/>
          <w:szCs w:val="24"/>
        </w:rPr>
        <w:t xml:space="preserve"> </w:t>
      </w:r>
      <w:r w:rsidR="00C1347F">
        <w:rPr>
          <w:rFonts w:ascii="Times New Roman" w:hAnsi="Times New Roman" w:cs="Times New Roman"/>
          <w:sz w:val="24"/>
          <w:szCs w:val="24"/>
        </w:rPr>
        <w:t>provide</w:t>
      </w:r>
      <w:r w:rsidRPr="005A2742">
        <w:rPr>
          <w:rFonts w:ascii="Times New Roman" w:hAnsi="Times New Roman" w:cs="Times New Roman"/>
          <w:sz w:val="24"/>
          <w:szCs w:val="24"/>
        </w:rPr>
        <w:t xml:space="preserve"> practical insights for adjusting reaction conditions to favor optimal coverage, ultimately informing strategies to enhance the efficiency of the Haber-Bosch process. This study thus contributes a detailed, simulation-based perspective on optimizing ammonia synthesis through tailored control of competitive adsorption dynamics.</w:t>
      </w:r>
    </w:p>
    <w:p w14:paraId="7715B882" w14:textId="2BB107DD" w:rsidR="00474CB0" w:rsidRPr="008143DA" w:rsidRDefault="00474CB0" w:rsidP="001D16EC">
      <w:pPr>
        <w:pStyle w:val="a3"/>
        <w:numPr>
          <w:ilvl w:val="0"/>
          <w:numId w:val="15"/>
        </w:numPr>
        <w:spacing w:line="360" w:lineRule="auto"/>
        <w:ind w:leftChars="0"/>
        <w:rPr>
          <w:rFonts w:ascii="Times New Roman" w:hAnsi="Times New Roman" w:cs="Times New Roman"/>
          <w:b/>
          <w:bCs/>
          <w:sz w:val="24"/>
          <w:szCs w:val="24"/>
        </w:rPr>
      </w:pPr>
      <w:r w:rsidRPr="008143DA">
        <w:rPr>
          <w:rFonts w:ascii="Times New Roman" w:hAnsi="Times New Roman" w:cs="Times New Roman"/>
          <w:b/>
          <w:bCs/>
          <w:sz w:val="24"/>
          <w:szCs w:val="24"/>
        </w:rPr>
        <w:t>Methodology</w:t>
      </w:r>
    </w:p>
    <w:p w14:paraId="252AC0FC" w14:textId="743A3AFE" w:rsidR="00EF1068" w:rsidRDefault="00F54ED6" w:rsidP="001D16EC">
      <w:pPr>
        <w:pStyle w:val="a4"/>
        <w:spacing w:line="360" w:lineRule="auto"/>
        <w:ind w:firstLine="720"/>
        <w:jc w:val="both"/>
        <w:rPr>
          <w:rFonts w:eastAsiaTheme="minorEastAsia"/>
          <w:kern w:val="2"/>
          <w14:ligatures w14:val="standardContextual"/>
        </w:rPr>
      </w:pPr>
      <w:r w:rsidRPr="00F54ED6">
        <w:rPr>
          <w:rFonts w:eastAsiaTheme="minorEastAsia"/>
          <w:kern w:val="2"/>
          <w14:ligatures w14:val="standardContextual"/>
        </w:rPr>
        <w:t>W</w:t>
      </w:r>
      <w:r w:rsidR="001D3D75" w:rsidRPr="00F54ED6">
        <w:rPr>
          <w:rFonts w:eastAsiaTheme="minorEastAsia"/>
          <w:kern w:val="2"/>
          <w14:ligatures w14:val="standardContextual"/>
        </w:rPr>
        <w:t xml:space="preserve">e modeled the competitive adsorption behavior of nitrogen and hydrogen on a two-dimensional lattice to simulate different interaction conditions relevant to the ammonia synthesis process. </w:t>
      </w:r>
      <w:r w:rsidR="00ED3CF2" w:rsidRPr="00F54ED6">
        <w:rPr>
          <w:rFonts w:eastAsiaTheme="minorEastAsia"/>
          <w:kern w:val="2"/>
          <w14:ligatures w14:val="standardContextual"/>
        </w:rPr>
        <w:t>To examine diverse adsorption behaviors, we investigated five interaction scenarios. The ideal mixture scenario modeled nitrogen and hydrogen as non-interacting particles, serving as a baseline for comparison. The repulsive interactions scenario introduced an energetic penalty when adjacent particles were of the same type, thereby discouraging clustering. For attractive interactions, the configuration was set to favor aggregation, encouraging clusters of like particles. In the immiscible scenario, phase separation was promoted, resulting in distinct domains of nitrogen and hydrogen on the lattice. Finally, the “like dissolves unlike” condition represented selective adsorption, with differential affinities between nitrogen and hydrogen to mimic heterogeneous adsorption tendencies.</w:t>
      </w:r>
      <w:r w:rsidR="00ED3CF2">
        <w:rPr>
          <w:rFonts w:eastAsiaTheme="minorEastAsia"/>
          <w:kern w:val="2"/>
          <w14:ligatures w14:val="standardContextual"/>
        </w:rPr>
        <w:t xml:space="preserve"> The detailed values of parameters are shown in </w:t>
      </w:r>
      <w:r w:rsidR="00ED3CF2" w:rsidRPr="00ED3CF2">
        <w:rPr>
          <w:rFonts w:eastAsiaTheme="minorEastAsia"/>
          <w:b/>
          <w:bCs/>
          <w:kern w:val="2"/>
          <w14:ligatures w14:val="standardContextual"/>
        </w:rPr>
        <w:t>Table 1</w:t>
      </w:r>
      <w:r w:rsidR="00ED3CF2">
        <w:rPr>
          <w:rFonts w:eastAsiaTheme="minorEastAsia"/>
          <w:kern w:val="2"/>
          <w14:ligatures w14:val="standardContextual"/>
        </w:rPr>
        <w:t>.</w:t>
      </w:r>
    </w:p>
    <w:p w14:paraId="4ACCC78C" w14:textId="3A7FED15" w:rsidR="00CF6A51" w:rsidRDefault="00CF6A51" w:rsidP="00CF6A51">
      <w:pPr>
        <w:pStyle w:val="a4"/>
        <w:spacing w:line="360" w:lineRule="auto"/>
        <w:rPr>
          <w:rFonts w:eastAsiaTheme="minorEastAsia" w:hint="eastAsia"/>
          <w:kern w:val="2"/>
          <w14:ligatures w14:val="standardContextual"/>
        </w:rPr>
      </w:pPr>
      <w:r w:rsidRPr="00CF6A51">
        <w:rPr>
          <w:rFonts w:eastAsiaTheme="minorEastAsia" w:hint="eastAsia"/>
          <w:b/>
          <w:bCs/>
          <w:kern w:val="2"/>
          <w14:ligatures w14:val="standardContextual"/>
        </w:rPr>
        <w:t>Table 1</w:t>
      </w:r>
      <w:r>
        <w:rPr>
          <w:rFonts w:eastAsiaTheme="minorEastAsia" w:hint="eastAsia"/>
          <w:kern w:val="2"/>
          <w14:ligatures w14:val="standardContextual"/>
        </w:rPr>
        <w:t>. Five interaction scenarios for investigating competitive adsorption</w:t>
      </w:r>
    </w:p>
    <w:tbl>
      <w:tblPr>
        <w:tblStyle w:val="5"/>
        <w:tblW w:w="0" w:type="auto"/>
        <w:tblLook w:val="04A0" w:firstRow="1" w:lastRow="0" w:firstColumn="1" w:lastColumn="0" w:noHBand="0" w:noVBand="1"/>
      </w:tblPr>
      <w:tblGrid>
        <w:gridCol w:w="3671"/>
        <w:gridCol w:w="1135"/>
        <w:gridCol w:w="1136"/>
        <w:gridCol w:w="1136"/>
        <w:gridCol w:w="1136"/>
        <w:gridCol w:w="1136"/>
      </w:tblGrid>
      <w:tr w:rsidR="001D3C8F" w14:paraId="0590B347" w14:textId="77777777" w:rsidTr="001D3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71" w:type="dxa"/>
          </w:tcPr>
          <w:p w14:paraId="2897B51B" w14:textId="7715B50D" w:rsidR="001D3C8F" w:rsidRPr="009F3E81" w:rsidRDefault="001D3C8F" w:rsidP="00182C96">
            <w:pPr>
              <w:pStyle w:val="a4"/>
              <w:spacing w:line="360" w:lineRule="auto"/>
              <w:jc w:val="center"/>
              <w:rPr>
                <w:rFonts w:eastAsiaTheme="minorEastAsia"/>
                <w:b/>
                <w:bCs/>
                <w:i w:val="0"/>
                <w:iCs w:val="0"/>
                <w:kern w:val="2"/>
                <w:sz w:val="21"/>
                <w:szCs w:val="21"/>
                <w14:ligatures w14:val="standardContextual"/>
              </w:rPr>
            </w:pPr>
            <w:r w:rsidRPr="009F3E81">
              <w:rPr>
                <w:rFonts w:eastAsiaTheme="minorEastAsia"/>
                <w:b/>
                <w:bCs/>
                <w:i w:val="0"/>
                <w:iCs w:val="0"/>
                <w:kern w:val="2"/>
                <w:sz w:val="21"/>
                <w:szCs w:val="21"/>
                <w14:ligatures w14:val="standardContextual"/>
              </w:rPr>
              <w:t>Cases</w:t>
            </w:r>
          </w:p>
        </w:tc>
        <w:tc>
          <w:tcPr>
            <w:tcW w:w="1135" w:type="dxa"/>
          </w:tcPr>
          <w:p w14:paraId="5F0BA55F" w14:textId="45B10535"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N</m:t>
                    </m:r>
                  </m:sub>
                </m:sSub>
              </m:oMath>
            </m:oMathPara>
          </w:p>
        </w:tc>
        <w:tc>
          <w:tcPr>
            <w:tcW w:w="1136" w:type="dxa"/>
          </w:tcPr>
          <w:p w14:paraId="5CD4222C" w14:textId="2F57C4D8"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H</m:t>
                    </m:r>
                  </m:sub>
                </m:sSub>
              </m:oMath>
            </m:oMathPara>
          </w:p>
        </w:tc>
        <w:tc>
          <w:tcPr>
            <w:tcW w:w="1136" w:type="dxa"/>
          </w:tcPr>
          <w:p w14:paraId="512FEB11" w14:textId="47B8F188"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NN</m:t>
                    </m:r>
                  </m:sub>
                </m:sSub>
              </m:oMath>
            </m:oMathPara>
          </w:p>
        </w:tc>
        <w:tc>
          <w:tcPr>
            <w:tcW w:w="1136" w:type="dxa"/>
          </w:tcPr>
          <w:p w14:paraId="3659D965" w14:textId="3EADBE03"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HH</m:t>
                    </m:r>
                  </m:sub>
                </m:sSub>
              </m:oMath>
            </m:oMathPara>
          </w:p>
        </w:tc>
        <w:tc>
          <w:tcPr>
            <w:tcW w:w="1136" w:type="dxa"/>
          </w:tcPr>
          <w:p w14:paraId="2FF5D8F3" w14:textId="69CB5F43" w:rsidR="001D3C8F" w:rsidRPr="009F3E81" w:rsidRDefault="00000000" w:rsidP="00182C96">
            <w:pPr>
              <w:pStyle w:val="a4"/>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kern w:val="2"/>
                <w:sz w:val="21"/>
                <w:szCs w:val="21"/>
                <w14:ligatures w14:val="standardContextual"/>
              </w:rPr>
            </w:pPr>
            <m:oMathPara>
              <m:oMath>
                <m:sSub>
                  <m:sSubPr>
                    <m:ctrlPr>
                      <w:rPr>
                        <w:rFonts w:ascii="Cambria Math" w:eastAsiaTheme="minorEastAsia" w:hAnsi="Cambria Math"/>
                        <w:b/>
                        <w:bCs/>
                        <w:i w:val="0"/>
                        <w:iCs w:val="0"/>
                        <w:kern w:val="2"/>
                        <w:sz w:val="21"/>
                        <w:szCs w:val="21"/>
                        <w14:ligatures w14:val="standardContextual"/>
                      </w:rPr>
                    </m:ctrlPr>
                  </m:sSubPr>
                  <m:e>
                    <m:r>
                      <m:rPr>
                        <m:sty m:val="bi"/>
                      </m:rPr>
                      <w:rPr>
                        <w:rFonts w:ascii="Cambria Math" w:eastAsiaTheme="minorEastAsia" w:hAnsi="Cambria Math"/>
                        <w:kern w:val="2"/>
                        <w:sz w:val="21"/>
                        <w:szCs w:val="21"/>
                        <w14:ligatures w14:val="standardContextual"/>
                      </w:rPr>
                      <m:t>ϵ</m:t>
                    </m:r>
                  </m:e>
                  <m:sub>
                    <m:r>
                      <m:rPr>
                        <m:sty m:val="bi"/>
                      </m:rPr>
                      <w:rPr>
                        <w:rFonts w:ascii="Cambria Math" w:eastAsiaTheme="minorEastAsia" w:hAnsi="Cambria Math"/>
                        <w:kern w:val="2"/>
                        <w:sz w:val="21"/>
                        <w:szCs w:val="21"/>
                        <w14:ligatures w14:val="standardContextual"/>
                      </w:rPr>
                      <m:t>NH</m:t>
                    </m:r>
                  </m:sub>
                </m:sSub>
              </m:oMath>
            </m:oMathPara>
          </w:p>
        </w:tc>
      </w:tr>
      <w:tr w:rsidR="001D3C8F" w14:paraId="2AE992D5" w14:textId="77777777" w:rsidTr="001D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1" w:type="dxa"/>
          </w:tcPr>
          <w:p w14:paraId="1B3A6BD5" w14:textId="01EA3941"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Ideal Mixture of Nitrogen and Hydrogens</w:t>
            </w:r>
          </w:p>
        </w:tc>
        <w:tc>
          <w:tcPr>
            <w:tcW w:w="1135" w:type="dxa"/>
          </w:tcPr>
          <w:p w14:paraId="2B479755" w14:textId="3193505E"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74856042" w14:textId="65356771"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3BCAAFA6" w14:textId="72A23C1C"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 eV</w:t>
            </w:r>
          </w:p>
        </w:tc>
        <w:tc>
          <w:tcPr>
            <w:tcW w:w="1136" w:type="dxa"/>
          </w:tcPr>
          <w:p w14:paraId="69C14DE4" w14:textId="0FC9A52E"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 eV</w:t>
            </w:r>
          </w:p>
        </w:tc>
        <w:tc>
          <w:tcPr>
            <w:tcW w:w="1136" w:type="dxa"/>
          </w:tcPr>
          <w:p w14:paraId="37D614D2" w14:textId="394A6395"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 eV</w:t>
            </w:r>
          </w:p>
        </w:tc>
      </w:tr>
      <w:tr w:rsidR="001D3C8F" w14:paraId="6741B43C" w14:textId="77777777" w:rsidTr="001D3C8F">
        <w:tc>
          <w:tcPr>
            <w:cnfStyle w:val="001000000000" w:firstRow="0" w:lastRow="0" w:firstColumn="1" w:lastColumn="0" w:oddVBand="0" w:evenVBand="0" w:oddHBand="0" w:evenHBand="0" w:firstRowFirstColumn="0" w:firstRowLastColumn="0" w:lastRowFirstColumn="0" w:lastRowLastColumn="0"/>
            <w:tcW w:w="3671" w:type="dxa"/>
          </w:tcPr>
          <w:p w14:paraId="5DB2C759" w14:textId="28CB7066"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Repulsive Interactions between Nitrogen and Hydrogen</w:t>
            </w:r>
          </w:p>
        </w:tc>
        <w:tc>
          <w:tcPr>
            <w:tcW w:w="1135" w:type="dxa"/>
          </w:tcPr>
          <w:p w14:paraId="2E969699" w14:textId="4AAF5966"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621C2952" w14:textId="44058DFF"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6D6A2267" w14:textId="3034ACF2"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1BB6ADAD" w14:textId="303B6440"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4A317AD2" w14:textId="21B0CA9A"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r w:rsidR="001D3C8F" w14:paraId="77A30D94" w14:textId="77777777" w:rsidTr="001D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1" w:type="dxa"/>
          </w:tcPr>
          <w:p w14:paraId="5EAC5BDA" w14:textId="3487369C"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Attractive Interactions between Nitrogen and Hydrogen</w:t>
            </w:r>
          </w:p>
        </w:tc>
        <w:tc>
          <w:tcPr>
            <w:tcW w:w="1135" w:type="dxa"/>
          </w:tcPr>
          <w:p w14:paraId="154CB648" w14:textId="05D977BE"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3AF993D7" w14:textId="02D36794"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13A974FA" w14:textId="015820D6"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66F95470" w14:textId="2CF05316"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062940AE" w14:textId="1AB04651"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r w:rsidR="001D3C8F" w14:paraId="7A151E78" w14:textId="77777777" w:rsidTr="001D3C8F">
        <w:tc>
          <w:tcPr>
            <w:cnfStyle w:val="001000000000" w:firstRow="0" w:lastRow="0" w:firstColumn="1" w:lastColumn="0" w:oddVBand="0" w:evenVBand="0" w:oddHBand="0" w:evenHBand="0" w:firstRowFirstColumn="0" w:firstRowLastColumn="0" w:lastRowFirstColumn="0" w:lastRowLastColumn="0"/>
            <w:tcW w:w="3671" w:type="dxa"/>
          </w:tcPr>
          <w:p w14:paraId="454CD3B6" w14:textId="3A7B564C"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t>Immiscible Nitrogen and Hydrogen</w:t>
            </w:r>
          </w:p>
        </w:tc>
        <w:tc>
          <w:tcPr>
            <w:tcW w:w="1135" w:type="dxa"/>
          </w:tcPr>
          <w:p w14:paraId="2F62CB27" w14:textId="3FCB6142"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7C186F6E" w14:textId="785EEBAD"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5077CE1D" w14:textId="0C8F7BB7"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1F2B11D1" w14:textId="7CCCBF0F"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52574C40" w14:textId="55A19B5F" w:rsidR="001D3C8F" w:rsidRPr="002121D2" w:rsidRDefault="001D3C8F" w:rsidP="001D16EC">
            <w:pPr>
              <w:pStyle w:val="a4"/>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r w:rsidR="001D3C8F" w14:paraId="2E359544" w14:textId="77777777" w:rsidTr="002121D2">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671" w:type="dxa"/>
          </w:tcPr>
          <w:p w14:paraId="173EDF07" w14:textId="747398FD" w:rsidR="001D3C8F" w:rsidRPr="002121D2" w:rsidRDefault="001D3C8F" w:rsidP="001D16EC">
            <w:pPr>
              <w:pStyle w:val="a4"/>
              <w:spacing w:line="360" w:lineRule="auto"/>
              <w:jc w:val="both"/>
              <w:rPr>
                <w:rFonts w:eastAsiaTheme="minorEastAsia"/>
                <w:i w:val="0"/>
                <w:iCs w:val="0"/>
                <w:kern w:val="2"/>
                <w:sz w:val="21"/>
                <w:szCs w:val="21"/>
                <w14:ligatures w14:val="standardContextual"/>
              </w:rPr>
            </w:pPr>
            <w:r w:rsidRPr="002121D2">
              <w:rPr>
                <w:rFonts w:eastAsiaTheme="minorEastAsia"/>
                <w:i w:val="0"/>
                <w:iCs w:val="0"/>
                <w:kern w:val="2"/>
                <w:sz w:val="21"/>
                <w:szCs w:val="21"/>
                <w14:ligatures w14:val="standardContextual"/>
              </w:rPr>
              <w:lastRenderedPageBreak/>
              <w:t>Like Dissolves Unlike</w:t>
            </w:r>
          </w:p>
        </w:tc>
        <w:tc>
          <w:tcPr>
            <w:tcW w:w="1135" w:type="dxa"/>
          </w:tcPr>
          <w:p w14:paraId="61FEC5B7" w14:textId="75CB4CD8"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05F3E3D6" w14:textId="134FFF3F"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-0.1 eV</w:t>
            </w:r>
          </w:p>
        </w:tc>
        <w:tc>
          <w:tcPr>
            <w:tcW w:w="1136" w:type="dxa"/>
          </w:tcPr>
          <w:p w14:paraId="787840DC" w14:textId="38C273EF"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385D3A00" w14:textId="16E662D5"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c>
          <w:tcPr>
            <w:tcW w:w="1136" w:type="dxa"/>
          </w:tcPr>
          <w:p w14:paraId="6B86D210" w14:textId="1F6A320A" w:rsidR="001D3C8F" w:rsidRPr="002121D2" w:rsidRDefault="001D3C8F" w:rsidP="001D16EC">
            <w:pPr>
              <w:pStyle w:val="a4"/>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kern w:val="2"/>
                <w:sz w:val="21"/>
                <w:szCs w:val="21"/>
                <w14:ligatures w14:val="standardContextual"/>
              </w:rPr>
            </w:pPr>
            <w:r w:rsidRPr="002121D2">
              <w:rPr>
                <w:rFonts w:eastAsiaTheme="minorEastAsia"/>
                <w:kern w:val="2"/>
                <w:sz w:val="21"/>
                <w:szCs w:val="21"/>
                <w14:ligatures w14:val="standardContextual"/>
              </w:rPr>
              <w:t>-0.05 eV</w:t>
            </w:r>
          </w:p>
        </w:tc>
      </w:tr>
    </w:tbl>
    <w:p w14:paraId="41B2709B" w14:textId="38A76F4B" w:rsidR="001D3D75" w:rsidRPr="00F54ED6" w:rsidRDefault="001D3D75" w:rsidP="001D16EC">
      <w:pPr>
        <w:pStyle w:val="a4"/>
        <w:spacing w:line="360" w:lineRule="auto"/>
        <w:ind w:firstLine="720"/>
        <w:jc w:val="both"/>
        <w:rPr>
          <w:rFonts w:eastAsiaTheme="minorEastAsia"/>
          <w:kern w:val="2"/>
          <w14:ligatures w14:val="standardContextual"/>
        </w:rPr>
      </w:pPr>
      <w:r w:rsidRPr="00F54ED6">
        <w:rPr>
          <w:rFonts w:eastAsiaTheme="minorEastAsia"/>
          <w:kern w:val="2"/>
          <w14:ligatures w14:val="standardContextual"/>
        </w:rPr>
        <w:t>Simulations were conducted over a temperature range of 0 to 300 K to capture the effects of thermal fluctuations on adsorption patterns. The chemical potential of adsorbate A (</w:t>
      </w:r>
      <w:proofErr w:type="spellStart"/>
      <w:r w:rsidRPr="00F54ED6">
        <w:rPr>
          <w:rFonts w:eastAsiaTheme="minorEastAsia"/>
          <w:kern w:val="2"/>
          <w14:ligatures w14:val="standardContextual"/>
        </w:rPr>
        <w:t>μ</w:t>
      </w:r>
      <w:r w:rsidRPr="00282DA6">
        <w:rPr>
          <w:rFonts w:eastAsiaTheme="minorEastAsia"/>
          <w:kern w:val="2"/>
          <w:vertAlign w:val="subscript"/>
          <w14:ligatures w14:val="standardContextual"/>
        </w:rPr>
        <w:t>A</w:t>
      </w:r>
      <w:proofErr w:type="spellEnd"/>
      <w:r w:rsidRPr="00F54ED6">
        <w:rPr>
          <w:rFonts w:eastAsiaTheme="minorEastAsia"/>
          <w:kern w:val="2"/>
          <w14:ligatures w14:val="standardContextual"/>
        </w:rPr>
        <w:t>​) was varied from -0.2 eV to 0 eV to explore its influence on the adsorption affinities of nitrogen and hydrogen. The phase diagrams generated for each set of interaction conditions quantified adsorption occupancy fractions, while lattice configurations visually demonstrated the spatial adsorption patterns on the catalyst surface.</w:t>
      </w:r>
    </w:p>
    <w:p w14:paraId="22A5708A" w14:textId="15DDB831" w:rsidR="00474CB0" w:rsidRPr="00CD159A" w:rsidRDefault="00474CB0" w:rsidP="001D16EC">
      <w:pPr>
        <w:pStyle w:val="a3"/>
        <w:numPr>
          <w:ilvl w:val="0"/>
          <w:numId w:val="15"/>
        </w:numPr>
        <w:spacing w:line="360" w:lineRule="auto"/>
        <w:ind w:leftChars="0"/>
        <w:rPr>
          <w:rFonts w:ascii="Times New Roman" w:hAnsi="Times New Roman" w:cs="Times New Roman"/>
          <w:b/>
          <w:bCs/>
          <w:sz w:val="24"/>
          <w:szCs w:val="24"/>
        </w:rPr>
      </w:pPr>
      <w:r w:rsidRPr="00CD159A">
        <w:rPr>
          <w:rFonts w:ascii="Times New Roman" w:hAnsi="Times New Roman" w:cs="Times New Roman"/>
          <w:b/>
          <w:bCs/>
          <w:sz w:val="24"/>
          <w:szCs w:val="24"/>
        </w:rPr>
        <w:t>Results</w:t>
      </w:r>
      <w:r w:rsidR="006D7A76">
        <w:rPr>
          <w:rFonts w:ascii="Times New Roman" w:hAnsi="Times New Roman" w:cs="Times New Roman"/>
          <w:b/>
          <w:bCs/>
          <w:sz w:val="24"/>
          <w:szCs w:val="24"/>
        </w:rPr>
        <w:t xml:space="preserve"> and discussion</w:t>
      </w:r>
    </w:p>
    <w:p w14:paraId="28A0391C" w14:textId="30F39009"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Ideal Mixture</w:t>
      </w:r>
      <w:r w:rsidR="00896C6B">
        <w:rPr>
          <w:rFonts w:ascii="Times New Roman" w:hAnsi="Times New Roman" w:cs="Times New Roman" w:hint="eastAsia"/>
          <w:b/>
          <w:bCs/>
          <w:sz w:val="24"/>
          <w:szCs w:val="24"/>
        </w:rPr>
        <w:t xml:space="preserve"> Scenario</w:t>
      </w:r>
    </w:p>
    <w:p w14:paraId="7FB9F93C" w14:textId="3F487228" w:rsidR="000E59DA" w:rsidRDefault="00E623F3" w:rsidP="001D16EC">
      <w:pPr>
        <w:spacing w:line="360" w:lineRule="auto"/>
        <w:ind w:firstLine="360"/>
        <w:jc w:val="both"/>
        <w:rPr>
          <w:rFonts w:ascii="Times New Roman" w:hAnsi="Times New Roman" w:cs="Times New Roman"/>
          <w:sz w:val="24"/>
          <w:szCs w:val="24"/>
        </w:rPr>
      </w:pPr>
      <w:r>
        <w:rPr>
          <w:noProof/>
        </w:rPr>
        <w:drawing>
          <wp:inline distT="0" distB="0" distL="0" distR="0" wp14:anchorId="170F30FD" wp14:editId="74EC151E">
            <wp:extent cx="5683885" cy="4023360"/>
            <wp:effectExtent l="0" t="0" r="0" b="0"/>
            <wp:docPr id="171859648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3885" cy="4023360"/>
                    </a:xfrm>
                    <a:prstGeom prst="rect">
                      <a:avLst/>
                    </a:prstGeom>
                    <a:noFill/>
                    <a:ln>
                      <a:noFill/>
                    </a:ln>
                  </pic:spPr>
                </pic:pic>
              </a:graphicData>
            </a:graphic>
          </wp:inline>
        </w:drawing>
      </w:r>
    </w:p>
    <w:p w14:paraId="5B6B7717" w14:textId="0DD081B0" w:rsidR="006F6AB2" w:rsidRDefault="006F6AB2" w:rsidP="006F6AB2">
      <w:pPr>
        <w:pStyle w:val="a4"/>
        <w:spacing w:line="360" w:lineRule="auto"/>
        <w:rPr>
          <w:rFonts w:eastAsiaTheme="minorEastAsia" w:hint="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1</w:t>
      </w:r>
      <w:r>
        <w:rPr>
          <w:rFonts w:eastAsiaTheme="minorEastAsia" w:hint="eastAsia"/>
          <w:kern w:val="2"/>
          <w14:ligatures w14:val="standardContextual"/>
        </w:rPr>
        <w:t xml:space="preserve">. </w:t>
      </w:r>
      <w:r w:rsidR="001813B9">
        <w:rPr>
          <w:rFonts w:eastAsiaTheme="minorEastAsia" w:hint="eastAsia"/>
          <w:kern w:val="2"/>
          <w14:ligatures w14:val="standardContextual"/>
        </w:rPr>
        <w:t xml:space="preserve">(A) </w:t>
      </w:r>
      <w:r>
        <w:rPr>
          <w:rFonts w:eastAsiaTheme="minorEastAsia" w:hint="eastAsia"/>
          <w:kern w:val="2"/>
          <w14:ligatures w14:val="standardContextual"/>
        </w:rPr>
        <w:t xml:space="preserve">Phase diagram and </w:t>
      </w:r>
      <w:r w:rsidR="001813B9">
        <w:rPr>
          <w:rFonts w:eastAsiaTheme="minorEastAsia" w:hint="eastAsia"/>
          <w:kern w:val="2"/>
          <w14:ligatures w14:val="standardContextual"/>
        </w:rPr>
        <w:t xml:space="preserve">(B) </w:t>
      </w:r>
      <w:r>
        <w:rPr>
          <w:rFonts w:eastAsiaTheme="minorEastAsia" w:hint="eastAsia"/>
          <w:kern w:val="2"/>
          <w14:ligatures w14:val="standardContextual"/>
        </w:rPr>
        <w:t>lattice for ideal mixture. The red circle denotes nitrogen and blue circle denotes hydrogen.</w:t>
      </w:r>
    </w:p>
    <w:p w14:paraId="2FF86DB3" w14:textId="77777777" w:rsidR="006F6AB2" w:rsidRDefault="006F6AB2" w:rsidP="001D16EC">
      <w:pPr>
        <w:spacing w:line="360" w:lineRule="auto"/>
        <w:ind w:firstLine="360"/>
        <w:jc w:val="both"/>
        <w:rPr>
          <w:rFonts w:ascii="Times New Roman" w:hAnsi="Times New Roman" w:cs="Times New Roman"/>
          <w:sz w:val="24"/>
          <w:szCs w:val="24"/>
        </w:rPr>
      </w:pPr>
    </w:p>
    <w:p w14:paraId="5F299F38" w14:textId="5ACE1629" w:rsidR="00690B57" w:rsidRPr="00834461" w:rsidRDefault="00AE38A4"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The result of </w:t>
      </w:r>
      <w:r w:rsidR="00715A77" w:rsidRPr="00715A77">
        <w:rPr>
          <w:rFonts w:ascii="Times New Roman" w:hAnsi="Times New Roman" w:cs="Times New Roman"/>
          <w:sz w:val="24"/>
          <w:szCs w:val="24"/>
        </w:rPr>
        <w:t>the ideal mixture scenario</w:t>
      </w:r>
      <w:r>
        <w:rPr>
          <w:rFonts w:ascii="Times New Roman" w:hAnsi="Times New Roman" w:cs="Times New Roman" w:hint="eastAsia"/>
          <w:sz w:val="24"/>
          <w:szCs w:val="24"/>
        </w:rPr>
        <w:t xml:space="preserve"> is shown in </w:t>
      </w:r>
      <w:r w:rsidRPr="00915D6E">
        <w:rPr>
          <w:rFonts w:ascii="Times New Roman" w:hAnsi="Times New Roman" w:cs="Times New Roman" w:hint="eastAsia"/>
          <w:b/>
          <w:bCs/>
          <w:sz w:val="24"/>
          <w:szCs w:val="24"/>
        </w:rPr>
        <w:t>Figure 1</w:t>
      </w:r>
      <w:r>
        <w:rPr>
          <w:rFonts w:ascii="Times New Roman" w:hAnsi="Times New Roman" w:cs="Times New Roman" w:hint="eastAsia"/>
          <w:sz w:val="24"/>
          <w:szCs w:val="24"/>
        </w:rPr>
        <w:t>. As a result</w:t>
      </w:r>
      <w:r w:rsidR="00E40EEF">
        <w:rPr>
          <w:rFonts w:ascii="Times New Roman" w:hAnsi="Times New Roman" w:cs="Times New Roman" w:hint="eastAsia"/>
          <w:sz w:val="24"/>
          <w:szCs w:val="24"/>
        </w:rPr>
        <w:t xml:space="preserve"> of simulation</w:t>
      </w:r>
      <w:r>
        <w:rPr>
          <w:rFonts w:ascii="Times New Roman" w:hAnsi="Times New Roman" w:cs="Times New Roman" w:hint="eastAsia"/>
          <w:sz w:val="24"/>
          <w:szCs w:val="24"/>
        </w:rPr>
        <w:t xml:space="preserve">, the </w:t>
      </w:r>
      <w:r w:rsidR="00715A77" w:rsidRPr="00715A77">
        <w:rPr>
          <w:rFonts w:ascii="Times New Roman" w:hAnsi="Times New Roman" w:cs="Times New Roman"/>
          <w:sz w:val="24"/>
          <w:szCs w:val="24"/>
        </w:rPr>
        <w:t>hydrogen adsorption increases as the chemical potential (</w:t>
      </w:r>
      <w:proofErr w:type="spellStart"/>
      <w:r w:rsidR="00715A77" w:rsidRPr="00715A77">
        <w:rPr>
          <w:rFonts w:ascii="Times New Roman" w:hAnsi="Times New Roman" w:cs="Times New Roman"/>
          <w:sz w:val="24"/>
          <w:szCs w:val="24"/>
        </w:rPr>
        <w:t>μH</w:t>
      </w:r>
      <w:proofErr w:type="spellEnd"/>
      <w:r w:rsidR="00715A77" w:rsidRPr="00715A77">
        <w:rPr>
          <w:rFonts w:ascii="Times New Roman" w:hAnsi="Times New Roman" w:cs="Times New Roman"/>
          <w:sz w:val="24"/>
          <w:szCs w:val="24"/>
        </w:rPr>
        <w:t xml:space="preserve">) becomes more positive. High adsorption is observed when </w:t>
      </w:r>
      <w:proofErr w:type="spellStart"/>
      <w:r w:rsidR="00715A77" w:rsidRPr="00715A77">
        <w:rPr>
          <w:rFonts w:ascii="Times New Roman" w:hAnsi="Times New Roman" w:cs="Times New Roman"/>
          <w:sz w:val="24"/>
          <w:szCs w:val="24"/>
        </w:rPr>
        <w:t>μ</w:t>
      </w:r>
      <w:r w:rsidR="00715A77" w:rsidRPr="00715A77">
        <w:rPr>
          <w:rFonts w:ascii="Times New Roman" w:hAnsi="Times New Roman" w:cs="Times New Roman"/>
          <w:sz w:val="24"/>
          <w:szCs w:val="24"/>
          <w:vertAlign w:val="subscript"/>
        </w:rPr>
        <w:t>H</w:t>
      </w:r>
      <w:proofErr w:type="spellEnd"/>
      <w:r w:rsidR="00715A77" w:rsidRPr="00715A77">
        <w:rPr>
          <w:rFonts w:ascii="Times New Roman" w:hAnsi="Times New Roman" w:cs="Times New Roman"/>
          <w:sz w:val="24"/>
          <w:szCs w:val="24"/>
        </w:rPr>
        <w:t xml:space="preserve"> approaches 0 eV, indicating that hydrogen is highly responsive to increases in chemical potential</w:t>
      </w:r>
      <w:r w:rsidR="00B41373">
        <w:rPr>
          <w:rFonts w:ascii="Times New Roman" w:hAnsi="Times New Roman" w:cs="Times New Roman" w:hint="eastAsia"/>
          <w:sz w:val="24"/>
          <w:szCs w:val="24"/>
        </w:rPr>
        <w:t xml:space="preserve"> (</w:t>
      </w:r>
      <w:r w:rsidR="00B41373" w:rsidRPr="00B41373">
        <w:rPr>
          <w:rFonts w:ascii="Times New Roman" w:hAnsi="Times New Roman" w:cs="Times New Roman" w:hint="eastAsia"/>
          <w:b/>
          <w:bCs/>
          <w:sz w:val="24"/>
          <w:szCs w:val="24"/>
        </w:rPr>
        <w:t>Figure 1A</w:t>
      </w:r>
      <w:r w:rsidR="00B41373">
        <w:rPr>
          <w:rFonts w:ascii="Times New Roman" w:hAnsi="Times New Roman" w:cs="Times New Roman" w:hint="eastAsia"/>
          <w:sz w:val="24"/>
          <w:szCs w:val="24"/>
        </w:rPr>
        <w:t>)</w:t>
      </w:r>
      <w:r w:rsidR="00715A77" w:rsidRPr="00715A77">
        <w:rPr>
          <w:rFonts w:ascii="Times New Roman" w:hAnsi="Times New Roman" w:cs="Times New Roman"/>
          <w:sz w:val="24"/>
          <w:szCs w:val="24"/>
        </w:rPr>
        <w:t xml:space="preserve">. This suggests that hydrogen’s affinity for the lattice rises </w:t>
      </w:r>
      <w:r w:rsidR="00FF7A38">
        <w:rPr>
          <w:rFonts w:ascii="Times New Roman" w:hAnsi="Times New Roman" w:cs="Times New Roman"/>
          <w:sz w:val="24"/>
          <w:szCs w:val="24"/>
        </w:rPr>
        <w:t>because</w:t>
      </w:r>
      <w:r w:rsidR="00715A77" w:rsidRPr="00715A77">
        <w:rPr>
          <w:rFonts w:ascii="Times New Roman" w:hAnsi="Times New Roman" w:cs="Times New Roman"/>
          <w:sz w:val="24"/>
          <w:szCs w:val="24"/>
        </w:rPr>
        <w:t xml:space="preserve"> its chemical potential becomes more favorable. However, as temperature rises, hydrogen adsorption decreases due to thermal desorption. The added thermal energy promotes desorption, reducing hydrogen coverage.</w:t>
      </w:r>
      <w:r w:rsidR="00690B57">
        <w:rPr>
          <w:rFonts w:ascii="Times New Roman" w:hAnsi="Times New Roman" w:cs="Times New Roman"/>
          <w:sz w:val="24"/>
          <w:szCs w:val="24"/>
        </w:rPr>
        <w:t xml:space="preserve"> </w:t>
      </w:r>
      <w:r w:rsidR="00715A77" w:rsidRPr="00715A77">
        <w:rPr>
          <w:rFonts w:ascii="Times New Roman" w:hAnsi="Times New Roman" w:cs="Times New Roman"/>
          <w:sz w:val="24"/>
          <w:szCs w:val="24"/>
        </w:rPr>
        <w:t xml:space="preserve">In contrast, nitrogen adsorption remains relatively low compared to hydrogen across the range of </w:t>
      </w:r>
      <w:proofErr w:type="spellStart"/>
      <w:r w:rsidR="00715A77" w:rsidRPr="00715A77">
        <w:rPr>
          <w:rFonts w:ascii="Times New Roman" w:hAnsi="Times New Roman" w:cs="Times New Roman"/>
          <w:sz w:val="24"/>
          <w:szCs w:val="24"/>
        </w:rPr>
        <w:t>μ</w:t>
      </w:r>
      <w:r w:rsidR="00715A77" w:rsidRPr="00715A77">
        <w:rPr>
          <w:rFonts w:ascii="Times New Roman" w:hAnsi="Times New Roman" w:cs="Times New Roman"/>
          <w:sz w:val="24"/>
          <w:szCs w:val="24"/>
          <w:vertAlign w:val="subscript"/>
        </w:rPr>
        <w:t>H</w:t>
      </w:r>
      <w:proofErr w:type="spellEnd"/>
      <w:r w:rsidR="00715A77" w:rsidRPr="00715A77">
        <w:rPr>
          <w:rFonts w:ascii="Times New Roman" w:hAnsi="Times New Roman" w:cs="Times New Roman"/>
          <w:sz w:val="24"/>
          <w:szCs w:val="24"/>
        </w:rPr>
        <w:t xml:space="preserve"> values. As </w:t>
      </w:r>
      <w:proofErr w:type="spellStart"/>
      <w:r w:rsidR="00715A77" w:rsidRPr="00715A77">
        <w:rPr>
          <w:rFonts w:ascii="Times New Roman" w:hAnsi="Times New Roman" w:cs="Times New Roman"/>
          <w:sz w:val="24"/>
          <w:szCs w:val="24"/>
        </w:rPr>
        <w:t>μ</w:t>
      </w:r>
      <w:r w:rsidR="00715A77" w:rsidRPr="00715A77">
        <w:rPr>
          <w:rFonts w:ascii="Times New Roman" w:hAnsi="Times New Roman" w:cs="Times New Roman"/>
          <w:sz w:val="24"/>
          <w:szCs w:val="24"/>
          <w:vertAlign w:val="subscript"/>
        </w:rPr>
        <w:t>H</w:t>
      </w:r>
      <w:proofErr w:type="spellEnd"/>
      <w:r w:rsidR="00715A77" w:rsidRPr="00715A77">
        <w:rPr>
          <w:rFonts w:ascii="Times New Roman" w:hAnsi="Times New Roman" w:cs="Times New Roman"/>
          <w:sz w:val="24"/>
          <w:szCs w:val="24"/>
        </w:rPr>
        <w:t xml:space="preserve"> becomes more positive, hydrogen adsorption outcompetes nitrogen for lattice sites</w:t>
      </w:r>
      <w:r w:rsidR="00ED7212">
        <w:rPr>
          <w:rFonts w:ascii="Times New Roman" w:hAnsi="Times New Roman" w:cs="Times New Roman" w:hint="eastAsia"/>
          <w:sz w:val="24"/>
          <w:szCs w:val="24"/>
        </w:rPr>
        <w:t xml:space="preserve"> (</w:t>
      </w:r>
      <w:r w:rsidR="00ED7212" w:rsidRPr="00ED7212">
        <w:rPr>
          <w:rFonts w:ascii="Times New Roman" w:hAnsi="Times New Roman" w:cs="Times New Roman" w:hint="eastAsia"/>
          <w:b/>
          <w:bCs/>
          <w:sz w:val="24"/>
          <w:szCs w:val="24"/>
        </w:rPr>
        <w:t>Figure 1B</w:t>
      </w:r>
      <w:r w:rsidR="00ED7212">
        <w:rPr>
          <w:rFonts w:ascii="Times New Roman" w:hAnsi="Times New Roman" w:cs="Times New Roman" w:hint="eastAsia"/>
          <w:sz w:val="24"/>
          <w:szCs w:val="24"/>
        </w:rPr>
        <w:t>)</w:t>
      </w:r>
      <w:r w:rsidR="00715A77" w:rsidRPr="00715A77">
        <w:rPr>
          <w:rFonts w:ascii="Times New Roman" w:hAnsi="Times New Roman" w:cs="Times New Roman"/>
          <w:sz w:val="24"/>
          <w:szCs w:val="24"/>
        </w:rPr>
        <w:t xml:space="preserve">. Nitrogen coverage only increases when </w:t>
      </w:r>
      <w:proofErr w:type="spellStart"/>
      <w:r w:rsidR="00715A77" w:rsidRPr="00715A77">
        <w:rPr>
          <w:rFonts w:ascii="Times New Roman" w:hAnsi="Times New Roman" w:cs="Times New Roman"/>
          <w:sz w:val="24"/>
          <w:szCs w:val="24"/>
        </w:rPr>
        <w:t>μ</w:t>
      </w:r>
      <w:r w:rsidR="00715A77" w:rsidRPr="00715A77">
        <w:rPr>
          <w:rFonts w:ascii="Times New Roman" w:hAnsi="Times New Roman" w:cs="Times New Roman"/>
          <w:sz w:val="24"/>
          <w:szCs w:val="24"/>
          <w:vertAlign w:val="subscript"/>
        </w:rPr>
        <w:t>H</w:t>
      </w:r>
      <w:proofErr w:type="spellEnd"/>
      <w:r w:rsidR="00715A77" w:rsidRPr="00715A77">
        <w:rPr>
          <w:rFonts w:ascii="Times New Roman" w:hAnsi="Times New Roman" w:cs="Times New Roman"/>
          <w:sz w:val="24"/>
          <w:szCs w:val="24"/>
        </w:rPr>
        <w:t xml:space="preserve"> is lower, reflecting nitrogen's preference for the lattice in the absence of competitive hydrogen adsorption.</w:t>
      </w:r>
    </w:p>
    <w:p w14:paraId="2E2D8A2B" w14:textId="7444F7E4"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Repulsive Interactions</w:t>
      </w:r>
      <w:r w:rsidR="00896C6B">
        <w:rPr>
          <w:rFonts w:ascii="Times New Roman" w:hAnsi="Times New Roman" w:cs="Times New Roman" w:hint="eastAsia"/>
          <w:b/>
          <w:bCs/>
          <w:sz w:val="24"/>
          <w:szCs w:val="24"/>
        </w:rPr>
        <w:t xml:space="preserve"> Scenario</w:t>
      </w:r>
    </w:p>
    <w:p w14:paraId="64B0FC14" w14:textId="1D5FF216" w:rsidR="002108D0" w:rsidRDefault="00E623F3" w:rsidP="001D16EC">
      <w:pPr>
        <w:spacing w:line="360" w:lineRule="auto"/>
        <w:ind w:firstLine="360"/>
        <w:jc w:val="both"/>
        <w:rPr>
          <w:rFonts w:ascii="Times New Roman" w:hAnsi="Times New Roman" w:cs="Times New Roman"/>
          <w:sz w:val="24"/>
          <w:szCs w:val="24"/>
        </w:rPr>
      </w:pPr>
      <w:r>
        <w:rPr>
          <w:noProof/>
        </w:rPr>
        <w:drawing>
          <wp:inline distT="0" distB="0" distL="0" distR="0" wp14:anchorId="31BCD720" wp14:editId="771ED55C">
            <wp:extent cx="5676595" cy="3926918"/>
            <wp:effectExtent l="0" t="0" r="635" b="0"/>
            <wp:docPr id="131707743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0553" cy="3929656"/>
                    </a:xfrm>
                    <a:prstGeom prst="rect">
                      <a:avLst/>
                    </a:prstGeom>
                    <a:noFill/>
                    <a:ln>
                      <a:noFill/>
                    </a:ln>
                  </pic:spPr>
                </pic:pic>
              </a:graphicData>
            </a:graphic>
          </wp:inline>
        </w:drawing>
      </w:r>
    </w:p>
    <w:p w14:paraId="1FEAE051" w14:textId="73B0BC13" w:rsidR="006F6AB2" w:rsidRDefault="006F6AB2" w:rsidP="006F6AB2">
      <w:pPr>
        <w:pStyle w:val="a4"/>
        <w:spacing w:line="360" w:lineRule="auto"/>
        <w:rPr>
          <w:rFonts w:eastAsiaTheme="minorEastAsia" w:hint="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2</w:t>
      </w:r>
      <w:r>
        <w:rPr>
          <w:rFonts w:eastAsiaTheme="minorEastAsia" w:hint="eastAsia"/>
          <w:kern w:val="2"/>
          <w14:ligatures w14:val="standardContextual"/>
        </w:rPr>
        <w:t xml:space="preserve">. </w:t>
      </w:r>
      <w:r w:rsidR="001813B9">
        <w:rPr>
          <w:rFonts w:eastAsiaTheme="minorEastAsia" w:hint="eastAsia"/>
          <w:kern w:val="2"/>
          <w14:ligatures w14:val="standardContextual"/>
        </w:rPr>
        <w:t>(A) Phase diagram and (B) lattice</w:t>
      </w:r>
      <w:r>
        <w:rPr>
          <w:rFonts w:eastAsiaTheme="minorEastAsia" w:hint="eastAsia"/>
          <w:kern w:val="2"/>
          <w14:ligatures w14:val="standardContextual"/>
        </w:rPr>
        <w:t xml:space="preserve"> for </w:t>
      </w:r>
      <w:r>
        <w:rPr>
          <w:rFonts w:eastAsiaTheme="minorEastAsia" w:hint="eastAsia"/>
          <w:kern w:val="2"/>
          <w14:ligatures w14:val="standardContextual"/>
        </w:rPr>
        <w:t>repulsive interactions</w:t>
      </w:r>
      <w:r>
        <w:rPr>
          <w:rFonts w:eastAsiaTheme="minorEastAsia" w:hint="eastAsia"/>
          <w:kern w:val="2"/>
          <w14:ligatures w14:val="standardContextual"/>
        </w:rPr>
        <w:t>. The red circle denotes nitrogen and blue circle denotes hydrogen.</w:t>
      </w:r>
    </w:p>
    <w:p w14:paraId="096AEF6B" w14:textId="4B7EF1F6" w:rsidR="001A0328" w:rsidRPr="001A0328" w:rsidRDefault="001A0328" w:rsidP="001D16EC">
      <w:pPr>
        <w:spacing w:line="360" w:lineRule="auto"/>
        <w:ind w:firstLine="360"/>
        <w:jc w:val="both"/>
        <w:rPr>
          <w:rFonts w:ascii="Times New Roman" w:hAnsi="Times New Roman" w:cs="Times New Roman"/>
          <w:sz w:val="24"/>
          <w:szCs w:val="24"/>
        </w:rPr>
      </w:pPr>
      <w:r w:rsidRPr="001A0328">
        <w:rPr>
          <w:rFonts w:ascii="Times New Roman" w:hAnsi="Times New Roman" w:cs="Times New Roman"/>
          <w:sz w:val="24"/>
          <w:szCs w:val="24"/>
        </w:rPr>
        <w:lastRenderedPageBreak/>
        <w:t xml:space="preserve">The results in </w:t>
      </w:r>
      <w:r w:rsidRPr="001A0328">
        <w:rPr>
          <w:rFonts w:ascii="Times New Roman" w:hAnsi="Times New Roman" w:cs="Times New Roman"/>
          <w:b/>
          <w:bCs/>
          <w:sz w:val="24"/>
          <w:szCs w:val="24"/>
        </w:rPr>
        <w:t>Figure 2</w:t>
      </w:r>
      <w:r w:rsidRPr="001A0328">
        <w:rPr>
          <w:rFonts w:ascii="Times New Roman" w:hAnsi="Times New Roman" w:cs="Times New Roman"/>
          <w:sz w:val="24"/>
          <w:szCs w:val="24"/>
        </w:rPr>
        <w:t xml:space="preserve"> show</w:t>
      </w:r>
      <w:r>
        <w:rPr>
          <w:rFonts w:ascii="Times New Roman" w:hAnsi="Times New Roman" w:cs="Times New Roman"/>
          <w:sz w:val="24"/>
          <w:szCs w:val="24"/>
        </w:rPr>
        <w:t>s</w:t>
      </w:r>
      <w:r w:rsidRPr="001A0328">
        <w:rPr>
          <w:rFonts w:ascii="Times New Roman" w:hAnsi="Times New Roman" w:cs="Times New Roman"/>
          <w:sz w:val="24"/>
          <w:szCs w:val="24"/>
        </w:rPr>
        <w:t xml:space="preserve"> hydrogen and nitrogen adsorption behavior on a lattice with repulsive interactions between the adsorbates. The top row presents phase diagrams for hydrogen </w:t>
      </w:r>
      <w:r w:rsidRPr="001A0328">
        <w:rPr>
          <w:rFonts w:ascii="Cambria Math" w:hAnsi="Cambria Math" w:cs="Cambria Math"/>
          <w:sz w:val="24"/>
          <w:szCs w:val="24"/>
        </w:rPr>
        <w:t>⟨</w:t>
      </w:r>
      <w:proofErr w:type="spellStart"/>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H</w:t>
      </w:r>
      <w:proofErr w:type="spellEnd"/>
      <w:r w:rsidRPr="001A0328">
        <w:rPr>
          <w:rFonts w:ascii="Cambria Math" w:hAnsi="Cambria Math" w:cs="Cambria Math"/>
          <w:sz w:val="24"/>
          <w:szCs w:val="24"/>
        </w:rPr>
        <w:t>⟩</w:t>
      </w:r>
      <w:r w:rsidRPr="001A0328">
        <w:rPr>
          <w:rFonts w:ascii="Times New Roman" w:hAnsi="Times New Roman" w:cs="Times New Roman"/>
          <w:sz w:val="24"/>
          <w:szCs w:val="24"/>
        </w:rPr>
        <w:t xml:space="preserve">, nitrogen </w:t>
      </w:r>
      <w:r w:rsidRPr="001A0328">
        <w:rPr>
          <w:rFonts w:ascii="Cambria Math" w:hAnsi="Cambria Math" w:cs="Cambria Math"/>
          <w:sz w:val="24"/>
          <w:szCs w:val="24"/>
        </w:rPr>
        <w:t>⟨</w:t>
      </w:r>
      <w:proofErr w:type="spellStart"/>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N</w:t>
      </w:r>
      <w:proofErr w:type="spellEnd"/>
      <w:r w:rsidRPr="001A0328">
        <w:rPr>
          <w:rFonts w:ascii="Cambria Math" w:hAnsi="Cambria Math" w:cs="Cambria Math"/>
          <w:sz w:val="24"/>
          <w:szCs w:val="24"/>
        </w:rPr>
        <w:t>⟩</w:t>
      </w:r>
      <w:r w:rsidRPr="001A0328">
        <w:rPr>
          <w:rFonts w:ascii="Times New Roman" w:hAnsi="Times New Roman" w:cs="Times New Roman"/>
          <w:sz w:val="24"/>
          <w:szCs w:val="24"/>
        </w:rPr>
        <w:t xml:space="preserve">, and their combined coverage </w:t>
      </w:r>
      <w:r w:rsidRPr="001A0328">
        <w:rPr>
          <w:rFonts w:ascii="Cambria Math" w:hAnsi="Cambria Math" w:cs="Cambria Math"/>
          <w:sz w:val="24"/>
          <w:szCs w:val="24"/>
        </w:rPr>
        <w:t>⟨</w:t>
      </w:r>
      <w:proofErr w:type="spellStart"/>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H</w:t>
      </w:r>
      <w:r w:rsidRPr="001A0328">
        <w:rPr>
          <w:rFonts w:ascii="Times New Roman" w:hAnsi="Times New Roman" w:cs="Times New Roman"/>
          <w:sz w:val="24"/>
          <w:szCs w:val="24"/>
        </w:rPr>
        <w:t>+θ</w:t>
      </w:r>
      <w:r w:rsidRPr="001A0328">
        <w:rPr>
          <w:rFonts w:ascii="Times New Roman" w:hAnsi="Times New Roman" w:cs="Times New Roman"/>
          <w:sz w:val="24"/>
          <w:szCs w:val="24"/>
          <w:vertAlign w:val="subscript"/>
        </w:rPr>
        <w:t>N</w:t>
      </w:r>
      <w:proofErr w:type="spellEnd"/>
      <w:r w:rsidRPr="001A0328">
        <w:rPr>
          <w:rFonts w:ascii="Cambria Math" w:hAnsi="Cambria Math" w:cs="Cambria Math"/>
          <w:sz w:val="24"/>
          <w:szCs w:val="24"/>
        </w:rPr>
        <w:t>⟩</w:t>
      </w:r>
      <w:r w:rsidRPr="001A0328">
        <w:rPr>
          <w:rFonts w:ascii="Times New Roman" w:hAnsi="Times New Roman" w:cs="Times New Roman"/>
          <w:sz w:val="24"/>
          <w:szCs w:val="24"/>
        </w:rPr>
        <w:t xml:space="preserve"> across a range of hydrogen chemical potentials (</w:t>
      </w:r>
      <w:proofErr w:type="spellStart"/>
      <w:r w:rsidRPr="001A0328">
        <w:rPr>
          <w:rFonts w:ascii="Times New Roman" w:hAnsi="Times New Roman" w:cs="Times New Roman"/>
          <w:sz w:val="24"/>
          <w:szCs w:val="24"/>
        </w:rPr>
        <w:t>μ</w:t>
      </w:r>
      <w:r w:rsidRPr="001A0328">
        <w:rPr>
          <w:rFonts w:ascii="Times New Roman" w:hAnsi="Times New Roman" w:cs="Times New Roman"/>
          <w:sz w:val="24"/>
          <w:szCs w:val="24"/>
          <w:vertAlign w:val="subscript"/>
        </w:rPr>
        <w:t>H</w:t>
      </w:r>
      <w:proofErr w:type="spellEnd"/>
      <w:r w:rsidRPr="001A0328">
        <w:rPr>
          <w:rFonts w:ascii="Times New Roman" w:hAnsi="Times New Roman" w:cs="Times New Roman"/>
          <w:sz w:val="24"/>
          <w:szCs w:val="24"/>
        </w:rPr>
        <w:t xml:space="preserve">) and temperatures (T). The bottom row displays the lattice configurations at specific values of </w:t>
      </w:r>
      <w:proofErr w:type="spellStart"/>
      <w:r w:rsidRPr="001A0328">
        <w:rPr>
          <w:rFonts w:ascii="Times New Roman" w:hAnsi="Times New Roman" w:cs="Times New Roman"/>
          <w:sz w:val="24"/>
          <w:szCs w:val="24"/>
        </w:rPr>
        <w:t>μ</w:t>
      </w:r>
      <w:r w:rsidRPr="001A0328">
        <w:rPr>
          <w:rFonts w:ascii="Times New Roman" w:hAnsi="Times New Roman" w:cs="Times New Roman"/>
          <w:sz w:val="24"/>
          <w:szCs w:val="24"/>
          <w:vertAlign w:val="subscript"/>
        </w:rPr>
        <w:t>H</w:t>
      </w:r>
      <w:proofErr w:type="spellEnd"/>
      <w:r w:rsidRPr="001A0328">
        <w:rPr>
          <w:rFonts w:ascii="Times New Roman" w:hAnsi="Times New Roman" w:cs="Times New Roman"/>
          <w:sz w:val="24"/>
          <w:szCs w:val="24"/>
        </w:rPr>
        <w:t>​ and T, providing a visual representation of how the adsorbates distribute on the lattice under different conditions.</w:t>
      </w:r>
    </w:p>
    <w:p w14:paraId="61FD6DF1" w14:textId="33F9CCEB" w:rsidR="001A0328" w:rsidRPr="001A0328" w:rsidRDefault="00D90608"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 nitrogen, and combined coverage diagrams are shown in</w:t>
      </w:r>
      <w:r w:rsidR="002018CC">
        <w:rPr>
          <w:rFonts w:ascii="Times New Roman" w:hAnsi="Times New Roman" w:cs="Times New Roman" w:hint="eastAsia"/>
          <w:sz w:val="24"/>
          <w:szCs w:val="24"/>
        </w:rPr>
        <w:t xml:space="preserve"> </w:t>
      </w:r>
      <w:r w:rsidR="002018CC" w:rsidRPr="0003027C">
        <w:rPr>
          <w:rFonts w:ascii="Times New Roman" w:hAnsi="Times New Roman" w:cs="Times New Roman" w:hint="eastAsia"/>
          <w:b/>
          <w:bCs/>
          <w:sz w:val="24"/>
          <w:szCs w:val="24"/>
        </w:rPr>
        <w:t xml:space="preserve">Figure </w:t>
      </w:r>
      <w:r w:rsidR="002018CC">
        <w:rPr>
          <w:rFonts w:ascii="Times New Roman" w:hAnsi="Times New Roman" w:cs="Times New Roman" w:hint="eastAsia"/>
          <w:b/>
          <w:bCs/>
          <w:sz w:val="24"/>
          <w:szCs w:val="24"/>
        </w:rPr>
        <w:t>2</w:t>
      </w:r>
      <w:r w:rsidR="002018CC" w:rsidRPr="0003027C">
        <w:rPr>
          <w:rFonts w:ascii="Times New Roman" w:hAnsi="Times New Roman" w:cs="Times New Roman" w:hint="eastAsia"/>
          <w:b/>
          <w:bCs/>
          <w:sz w:val="24"/>
          <w:szCs w:val="24"/>
        </w:rPr>
        <w:t>A</w:t>
      </w:r>
      <w:r w:rsidR="002018CC">
        <w:rPr>
          <w:rFonts w:ascii="Times New Roman" w:hAnsi="Times New Roman" w:cs="Times New Roman" w:hint="eastAsia"/>
          <w:b/>
          <w:bCs/>
          <w:sz w:val="24"/>
          <w:szCs w:val="24"/>
        </w:rPr>
        <w:t>.</w:t>
      </w:r>
      <w:r w:rsidR="002018CC" w:rsidRPr="001A0328">
        <w:rPr>
          <w:rFonts w:ascii="Times New Roman" w:hAnsi="Times New Roman" w:cs="Times New Roman"/>
          <w:sz w:val="24"/>
          <w:szCs w:val="24"/>
        </w:rPr>
        <w:t xml:space="preserve"> </w:t>
      </w:r>
      <w:r w:rsidR="002018CC">
        <w:rPr>
          <w:rFonts w:ascii="Times New Roman" w:hAnsi="Times New Roman" w:cs="Times New Roman" w:hint="eastAsia"/>
          <w:sz w:val="24"/>
          <w:szCs w:val="24"/>
        </w:rPr>
        <w:t>The ph</w:t>
      </w:r>
      <w:r w:rsidR="001A0328" w:rsidRPr="001A0328">
        <w:rPr>
          <w:rFonts w:ascii="Times New Roman" w:hAnsi="Times New Roman" w:cs="Times New Roman"/>
          <w:sz w:val="24"/>
          <w:szCs w:val="24"/>
        </w:rPr>
        <w:t>ase diagram</w:t>
      </w:r>
      <w:r w:rsidR="002018CC">
        <w:rPr>
          <w:rFonts w:ascii="Times New Roman" w:hAnsi="Times New Roman" w:cs="Times New Roman" w:hint="eastAsia"/>
          <w:sz w:val="24"/>
          <w:szCs w:val="24"/>
        </w:rPr>
        <w:t xml:space="preserve"> of</w:t>
      </w:r>
      <w:r w:rsidR="001A0328" w:rsidRPr="001A0328">
        <w:rPr>
          <w:rFonts w:ascii="Times New Roman" w:hAnsi="Times New Roman" w:cs="Times New Roman"/>
          <w:sz w:val="24"/>
          <w:szCs w:val="24"/>
        </w:rPr>
        <w:t xml:space="preserve"> hydrogen coverage </w:t>
      </w:r>
      <w:r w:rsidR="001A0328" w:rsidRPr="001A0328">
        <w:rPr>
          <w:rFonts w:ascii="Cambria Math" w:hAnsi="Cambria Math" w:cs="Cambria Math"/>
          <w:sz w:val="24"/>
          <w:szCs w:val="24"/>
        </w:rPr>
        <w:t>⟨</w:t>
      </w:r>
      <w:proofErr w:type="spellStart"/>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H</w:t>
      </w:r>
      <w:proofErr w:type="spellEnd"/>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 xml:space="preserve"> increases as </w:t>
      </w:r>
      <w:proofErr w:type="spellStart"/>
      <w:r w:rsidR="001A0328" w:rsidRPr="001A0328">
        <w:rPr>
          <w:rFonts w:ascii="Times New Roman" w:hAnsi="Times New Roman" w:cs="Times New Roman"/>
          <w:sz w:val="24"/>
          <w:szCs w:val="24"/>
        </w:rPr>
        <w:t>μ</w:t>
      </w:r>
      <w:r w:rsidR="001A0328" w:rsidRPr="001A0328">
        <w:rPr>
          <w:rFonts w:ascii="Times New Roman" w:hAnsi="Times New Roman" w:cs="Times New Roman"/>
          <w:sz w:val="24"/>
          <w:szCs w:val="24"/>
          <w:vertAlign w:val="subscript"/>
        </w:rPr>
        <w:t>H</w:t>
      </w:r>
      <w:proofErr w:type="spellEnd"/>
      <w:r w:rsidR="001A0328" w:rsidRPr="001A0328">
        <w:rPr>
          <w:rFonts w:ascii="Times New Roman" w:hAnsi="Times New Roman" w:cs="Times New Roman"/>
          <w:sz w:val="24"/>
          <w:szCs w:val="24"/>
        </w:rPr>
        <w:t xml:space="preserve">​ becomes more positive, especially at low temperatures, indicating that hydrogen adsorption is highly sensitive to changes in chemical potential. As </w:t>
      </w:r>
      <w:r w:rsidR="00BB23E7">
        <w:rPr>
          <w:rFonts w:ascii="Times New Roman" w:hAnsi="Times New Roman" w:cs="Times New Roman" w:hint="eastAsia"/>
          <w:sz w:val="24"/>
          <w:szCs w:val="24"/>
        </w:rPr>
        <w:t>temperature</w:t>
      </w:r>
      <w:r w:rsidR="001A0328" w:rsidRPr="001A0328">
        <w:rPr>
          <w:rFonts w:ascii="Times New Roman" w:hAnsi="Times New Roman" w:cs="Times New Roman"/>
          <w:sz w:val="24"/>
          <w:szCs w:val="24"/>
        </w:rPr>
        <w:t xml:space="preserve"> rises, the hydrogen coverage decreases, showing the effect of thermal desorption. Nitrogen coverage </w:t>
      </w:r>
      <w:r w:rsidR="001A0328" w:rsidRPr="001A0328">
        <w:rPr>
          <w:rFonts w:ascii="Cambria Math" w:hAnsi="Cambria Math" w:cs="Cambria Math"/>
          <w:sz w:val="24"/>
          <w:szCs w:val="24"/>
        </w:rPr>
        <w:t>⟨</w:t>
      </w:r>
      <w:proofErr w:type="spellStart"/>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N</w:t>
      </w:r>
      <w:proofErr w:type="spellEnd"/>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 xml:space="preserve"> remains low across the range of </w:t>
      </w:r>
      <w:proofErr w:type="spellStart"/>
      <w:r w:rsidR="001A0328" w:rsidRPr="001A0328">
        <w:rPr>
          <w:rFonts w:ascii="Times New Roman" w:hAnsi="Times New Roman" w:cs="Times New Roman"/>
          <w:sz w:val="24"/>
          <w:szCs w:val="24"/>
        </w:rPr>
        <w:t>μ</w:t>
      </w:r>
      <w:r w:rsidR="001A0328" w:rsidRPr="001A0328">
        <w:rPr>
          <w:rFonts w:ascii="Times New Roman" w:hAnsi="Times New Roman" w:cs="Times New Roman"/>
          <w:sz w:val="24"/>
          <w:szCs w:val="24"/>
          <w:vertAlign w:val="subscript"/>
        </w:rPr>
        <w:t>H</w:t>
      </w:r>
      <w:proofErr w:type="spellEnd"/>
      <w:r w:rsidR="001A0328" w:rsidRPr="001A0328">
        <w:rPr>
          <w:rFonts w:ascii="Times New Roman" w:hAnsi="Times New Roman" w:cs="Times New Roman"/>
          <w:sz w:val="24"/>
          <w:szCs w:val="24"/>
        </w:rPr>
        <w:t xml:space="preserve">​ values, reflecting its lower affinity for the lattice compared to hydrogen. Only at very low </w:t>
      </w:r>
      <w:proofErr w:type="spellStart"/>
      <w:r w:rsidR="001A0328" w:rsidRPr="001A0328">
        <w:rPr>
          <w:rFonts w:ascii="Times New Roman" w:hAnsi="Times New Roman" w:cs="Times New Roman"/>
          <w:sz w:val="24"/>
          <w:szCs w:val="24"/>
        </w:rPr>
        <w:t>μ</w:t>
      </w:r>
      <w:r w:rsidR="001A0328" w:rsidRPr="001A0328">
        <w:rPr>
          <w:rFonts w:ascii="Times New Roman" w:hAnsi="Times New Roman" w:cs="Times New Roman"/>
          <w:sz w:val="24"/>
          <w:szCs w:val="24"/>
          <w:vertAlign w:val="subscript"/>
        </w:rPr>
        <w:t>H</w:t>
      </w:r>
      <w:proofErr w:type="spellEnd"/>
      <w:r w:rsidR="00FC7CE5" w:rsidRPr="001A0328">
        <w:rPr>
          <w:rFonts w:ascii="Times New Roman" w:hAnsi="Times New Roman" w:cs="Times New Roman"/>
          <w:sz w:val="24"/>
          <w:szCs w:val="24"/>
        </w:rPr>
        <w:t xml:space="preserve"> </w:t>
      </w:r>
      <w:r w:rsidR="001A0328" w:rsidRPr="001A0328">
        <w:rPr>
          <w:rFonts w:ascii="Times New Roman" w:hAnsi="Times New Roman" w:cs="Times New Roman"/>
          <w:sz w:val="24"/>
          <w:szCs w:val="24"/>
        </w:rPr>
        <w:t xml:space="preserve">​and low temperatures does nitrogen adsorption slightly increase, as hydrogen becomes less competitive for adsorption sites. The combined coverage </w:t>
      </w:r>
      <w:r w:rsidR="001A0328" w:rsidRPr="001A0328">
        <w:rPr>
          <w:rFonts w:ascii="Cambria Math" w:hAnsi="Cambria Math" w:cs="Cambria Math"/>
          <w:sz w:val="24"/>
          <w:szCs w:val="24"/>
        </w:rPr>
        <w:t>⟨</w:t>
      </w:r>
      <w:proofErr w:type="spellStart"/>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H</w:t>
      </w:r>
      <w:r w:rsidR="001A0328" w:rsidRPr="001A0328">
        <w:rPr>
          <w:rFonts w:ascii="Times New Roman" w:hAnsi="Times New Roman" w:cs="Times New Roman"/>
          <w:sz w:val="24"/>
          <w:szCs w:val="24"/>
        </w:rPr>
        <w:t>+θ</w:t>
      </w:r>
      <w:r w:rsidR="001A0328" w:rsidRPr="001A0328">
        <w:rPr>
          <w:rFonts w:ascii="Times New Roman" w:hAnsi="Times New Roman" w:cs="Times New Roman"/>
          <w:sz w:val="24"/>
          <w:szCs w:val="24"/>
          <w:vertAlign w:val="subscript"/>
        </w:rPr>
        <w:t>N</w:t>
      </w:r>
      <w:proofErr w:type="spellEnd"/>
      <w:r w:rsidR="001A0328" w:rsidRPr="001A0328">
        <w:rPr>
          <w:rFonts w:ascii="Cambria Math" w:hAnsi="Cambria Math" w:cs="Cambria Math"/>
          <w:sz w:val="24"/>
          <w:szCs w:val="24"/>
        </w:rPr>
        <w:t>⟩</w:t>
      </w:r>
      <w:r w:rsidR="001A0328" w:rsidRPr="001A0328">
        <w:rPr>
          <w:rFonts w:ascii="Times New Roman" w:hAnsi="Times New Roman" w:cs="Times New Roman"/>
          <w:sz w:val="24"/>
          <w:szCs w:val="24"/>
        </w:rPr>
        <w:t xml:space="preserve"> shows that hydrogen tends to dominate the lattice, particularly when </w:t>
      </w:r>
      <w:proofErr w:type="spellStart"/>
      <w:r w:rsidR="001A0328" w:rsidRPr="001A0328">
        <w:rPr>
          <w:rFonts w:ascii="Times New Roman" w:hAnsi="Times New Roman" w:cs="Times New Roman"/>
          <w:sz w:val="24"/>
          <w:szCs w:val="24"/>
        </w:rPr>
        <w:t>μ</w:t>
      </w:r>
      <w:r w:rsidR="001A0328" w:rsidRPr="001A0328">
        <w:rPr>
          <w:rFonts w:ascii="Times New Roman" w:hAnsi="Times New Roman" w:cs="Times New Roman"/>
          <w:sz w:val="24"/>
          <w:szCs w:val="24"/>
          <w:vertAlign w:val="subscript"/>
        </w:rPr>
        <w:t>H</w:t>
      </w:r>
      <w:proofErr w:type="spellEnd"/>
      <w:r w:rsidR="001A0328" w:rsidRPr="001A0328">
        <w:rPr>
          <w:rFonts w:ascii="Times New Roman" w:hAnsi="Times New Roman" w:cs="Times New Roman"/>
          <w:sz w:val="24"/>
          <w:szCs w:val="24"/>
        </w:rPr>
        <w:t>​ is closer to 0 eV, outcompeting nitrogen for adsorption sites.</w:t>
      </w:r>
    </w:p>
    <w:p w14:paraId="526F95B5" w14:textId="2F9E7204" w:rsidR="001A0328" w:rsidRPr="001A0328" w:rsidRDefault="001A0328" w:rsidP="001D16EC">
      <w:pPr>
        <w:spacing w:line="360" w:lineRule="auto"/>
        <w:ind w:firstLine="360"/>
        <w:jc w:val="both"/>
        <w:rPr>
          <w:rFonts w:ascii="Times New Roman" w:hAnsi="Times New Roman" w:cs="Times New Roman"/>
          <w:sz w:val="24"/>
          <w:szCs w:val="24"/>
        </w:rPr>
      </w:pPr>
      <w:r w:rsidRPr="001A0328">
        <w:rPr>
          <w:rFonts w:ascii="Times New Roman" w:hAnsi="Times New Roman" w:cs="Times New Roman"/>
          <w:sz w:val="24"/>
          <w:szCs w:val="24"/>
        </w:rPr>
        <w:t>The lattice configurations provide further insight into these trends</w:t>
      </w:r>
      <w:r w:rsidR="002E62DB">
        <w:rPr>
          <w:rFonts w:ascii="Times New Roman" w:hAnsi="Times New Roman" w:cs="Times New Roman" w:hint="eastAsia"/>
          <w:sz w:val="24"/>
          <w:szCs w:val="24"/>
        </w:rPr>
        <w:t xml:space="preserve"> (</w:t>
      </w:r>
      <w:r w:rsidR="002E62DB" w:rsidRPr="002E62DB">
        <w:rPr>
          <w:rFonts w:ascii="Times New Roman" w:hAnsi="Times New Roman" w:cs="Times New Roman" w:hint="eastAsia"/>
          <w:b/>
          <w:bCs/>
          <w:sz w:val="24"/>
          <w:szCs w:val="24"/>
        </w:rPr>
        <w:t>Figure 2B</w:t>
      </w:r>
      <w:r w:rsidR="002E62DB">
        <w:rPr>
          <w:rFonts w:ascii="Times New Roman" w:hAnsi="Times New Roman" w:cs="Times New Roman" w:hint="eastAsia"/>
          <w:sz w:val="24"/>
          <w:szCs w:val="24"/>
        </w:rPr>
        <w:t>)</w:t>
      </w:r>
      <w:r w:rsidRPr="001A0328">
        <w:rPr>
          <w:rFonts w:ascii="Times New Roman" w:hAnsi="Times New Roman" w:cs="Times New Roman"/>
          <w:sz w:val="24"/>
          <w:szCs w:val="24"/>
        </w:rPr>
        <w:t xml:space="preserve">. At </w:t>
      </w:r>
      <w:proofErr w:type="spellStart"/>
      <w:r w:rsidRPr="001A0328">
        <w:rPr>
          <w:rFonts w:ascii="Times New Roman" w:hAnsi="Times New Roman" w:cs="Times New Roman"/>
          <w:sz w:val="24"/>
          <w:szCs w:val="24"/>
        </w:rPr>
        <w:t>μ</w:t>
      </w:r>
      <w:r w:rsidRPr="001A0328">
        <w:rPr>
          <w:rFonts w:ascii="Times New Roman" w:hAnsi="Times New Roman" w:cs="Times New Roman"/>
          <w:sz w:val="24"/>
          <w:szCs w:val="24"/>
          <w:vertAlign w:val="subscript"/>
        </w:rPr>
        <w:t>H</w:t>
      </w:r>
      <w:proofErr w:type="spellEnd"/>
      <w:r w:rsidR="005A4145">
        <w:rPr>
          <w:rFonts w:ascii="Times New Roman" w:hAnsi="Times New Roman" w:cs="Times New Roman" w:hint="eastAsia"/>
          <w:sz w:val="24"/>
          <w:szCs w:val="24"/>
        </w:rPr>
        <w:t xml:space="preserve"> </w:t>
      </w:r>
      <w:r w:rsidRPr="001A0328">
        <w:rPr>
          <w:rFonts w:ascii="Times New Roman" w:hAnsi="Times New Roman" w:cs="Times New Roman"/>
          <w:sz w:val="24"/>
          <w:szCs w:val="24"/>
        </w:rPr>
        <w:t>=</w:t>
      </w:r>
      <w:r w:rsidR="005A4145">
        <w:rPr>
          <w:rFonts w:ascii="Times New Roman" w:hAnsi="Times New Roman" w:cs="Times New Roman" w:hint="eastAsia"/>
          <w:sz w:val="24"/>
          <w:szCs w:val="24"/>
        </w:rPr>
        <w:t xml:space="preserve"> </w:t>
      </w:r>
      <w:r w:rsidRPr="001A0328">
        <w:rPr>
          <w:rFonts w:ascii="Times New Roman" w:hAnsi="Times New Roman" w:cs="Times New Roman"/>
          <w:sz w:val="24"/>
          <w:szCs w:val="24"/>
        </w:rPr>
        <w:t>−0.2 eV and T=</w:t>
      </w:r>
      <w:r w:rsidR="00A1088A">
        <w:rPr>
          <w:rFonts w:ascii="Times New Roman" w:hAnsi="Times New Roman" w:cs="Times New Roman" w:hint="eastAsia"/>
          <w:sz w:val="24"/>
          <w:szCs w:val="24"/>
        </w:rPr>
        <w:t>116 K</w:t>
      </w:r>
      <w:r w:rsidRPr="001A0328">
        <w:rPr>
          <w:rFonts w:ascii="Times New Roman" w:hAnsi="Times New Roman" w:cs="Times New Roman"/>
          <w:sz w:val="24"/>
          <w:szCs w:val="24"/>
        </w:rPr>
        <w:t xml:space="preserve">, </w:t>
      </w:r>
      <w:r w:rsidR="00CD0805">
        <w:rPr>
          <w:rFonts w:ascii="Times New Roman" w:hAnsi="Times New Roman" w:cs="Times New Roman" w:hint="eastAsia"/>
          <w:sz w:val="24"/>
          <w:szCs w:val="24"/>
        </w:rPr>
        <w:t>nitrogen</w:t>
      </w:r>
      <w:r w:rsidRPr="001A0328">
        <w:rPr>
          <w:rFonts w:ascii="Times New Roman" w:hAnsi="Times New Roman" w:cs="Times New Roman"/>
          <w:sz w:val="24"/>
          <w:szCs w:val="24"/>
        </w:rPr>
        <w:t xml:space="preserve"> atoms (red circles) are sparsely distributed, with </w:t>
      </w:r>
      <w:r w:rsidR="008C1AD8">
        <w:rPr>
          <w:rFonts w:ascii="Times New Roman" w:hAnsi="Times New Roman" w:cs="Times New Roman" w:hint="eastAsia"/>
          <w:sz w:val="24"/>
          <w:szCs w:val="24"/>
        </w:rPr>
        <w:t xml:space="preserve">one </w:t>
      </w:r>
      <w:r w:rsidR="00C17F64">
        <w:rPr>
          <w:rFonts w:ascii="Times New Roman" w:hAnsi="Times New Roman" w:cs="Times New Roman" w:hint="eastAsia"/>
          <w:sz w:val="24"/>
          <w:szCs w:val="24"/>
        </w:rPr>
        <w:t>hydrogen</w:t>
      </w:r>
      <w:r w:rsidRPr="001A0328">
        <w:rPr>
          <w:rFonts w:ascii="Times New Roman" w:hAnsi="Times New Roman" w:cs="Times New Roman"/>
          <w:sz w:val="24"/>
          <w:szCs w:val="24"/>
        </w:rPr>
        <w:t xml:space="preserve"> atom (blue circle) appearing in isolated positions. As </w:t>
      </w:r>
      <w:proofErr w:type="spellStart"/>
      <w:r w:rsidRPr="001A0328">
        <w:rPr>
          <w:rFonts w:ascii="Times New Roman" w:hAnsi="Times New Roman" w:cs="Times New Roman"/>
          <w:sz w:val="24"/>
          <w:szCs w:val="24"/>
        </w:rPr>
        <w:t>μ</w:t>
      </w:r>
      <w:r w:rsidR="00B373BB" w:rsidRPr="00B373BB">
        <w:rPr>
          <w:rFonts w:ascii="Times New Roman" w:hAnsi="Times New Roman" w:cs="Times New Roman" w:hint="eastAsia"/>
          <w:sz w:val="24"/>
          <w:szCs w:val="24"/>
          <w:vertAlign w:val="subscript"/>
        </w:rPr>
        <w:t>H</w:t>
      </w:r>
      <w:proofErr w:type="spellEnd"/>
      <w:r w:rsidRPr="001A0328">
        <w:rPr>
          <w:rFonts w:ascii="Times New Roman" w:hAnsi="Times New Roman" w:cs="Times New Roman"/>
          <w:sz w:val="24"/>
          <w:szCs w:val="24"/>
        </w:rPr>
        <w:t xml:space="preserve"> increases to -0.1 eV, more hydrogen atoms appear on the lattice</w:t>
      </w:r>
      <w:r w:rsidR="00995E27">
        <w:rPr>
          <w:rFonts w:ascii="Times New Roman" w:hAnsi="Times New Roman" w:cs="Times New Roman" w:hint="eastAsia"/>
          <w:sz w:val="24"/>
          <w:szCs w:val="24"/>
        </w:rPr>
        <w:t xml:space="preserve"> and </w:t>
      </w:r>
      <w:r w:rsidRPr="001A0328">
        <w:rPr>
          <w:rFonts w:ascii="Times New Roman" w:hAnsi="Times New Roman" w:cs="Times New Roman"/>
          <w:sz w:val="24"/>
          <w:szCs w:val="24"/>
        </w:rPr>
        <w:t>the availability of sites for nitrogen</w:t>
      </w:r>
      <w:r w:rsidR="00995E27">
        <w:rPr>
          <w:rFonts w:ascii="Times New Roman" w:hAnsi="Times New Roman" w:cs="Times New Roman" w:hint="eastAsia"/>
          <w:sz w:val="24"/>
          <w:szCs w:val="24"/>
        </w:rPr>
        <w:t xml:space="preserve"> was reduced</w:t>
      </w:r>
      <w:r w:rsidRPr="001A0328">
        <w:rPr>
          <w:rFonts w:ascii="Times New Roman" w:hAnsi="Times New Roman" w:cs="Times New Roman"/>
          <w:sz w:val="24"/>
          <w:szCs w:val="24"/>
        </w:rPr>
        <w:t xml:space="preserve">. Finally, at </w:t>
      </w:r>
      <w:proofErr w:type="spellStart"/>
      <w:r w:rsidRPr="001A0328">
        <w:rPr>
          <w:rFonts w:ascii="Times New Roman" w:hAnsi="Times New Roman" w:cs="Times New Roman"/>
          <w:sz w:val="24"/>
          <w:szCs w:val="24"/>
        </w:rPr>
        <w:t>μ</w:t>
      </w:r>
      <w:r w:rsidRPr="001A0328">
        <w:rPr>
          <w:rFonts w:ascii="Times New Roman" w:hAnsi="Times New Roman" w:cs="Times New Roman"/>
          <w:sz w:val="24"/>
          <w:szCs w:val="24"/>
          <w:vertAlign w:val="subscript"/>
        </w:rPr>
        <w:t>H</w:t>
      </w:r>
      <w:proofErr w:type="spellEnd"/>
      <w:r w:rsidRPr="001A0328">
        <w:rPr>
          <w:rFonts w:ascii="Times New Roman" w:hAnsi="Times New Roman" w:cs="Times New Roman"/>
          <w:sz w:val="24"/>
          <w:szCs w:val="24"/>
        </w:rPr>
        <w:t xml:space="preserve">=0 </w:t>
      </w:r>
      <w:r w:rsidR="00142B45">
        <w:rPr>
          <w:rFonts w:ascii="Times New Roman" w:hAnsi="Times New Roman" w:cs="Times New Roman" w:hint="eastAsia"/>
          <w:sz w:val="24"/>
          <w:szCs w:val="24"/>
        </w:rPr>
        <w:t>at the same</w:t>
      </w:r>
      <w:r w:rsidRPr="001A0328">
        <w:rPr>
          <w:rFonts w:ascii="Times New Roman" w:hAnsi="Times New Roman" w:cs="Times New Roman"/>
          <w:sz w:val="24"/>
          <w:szCs w:val="24"/>
        </w:rPr>
        <w:t xml:space="preserve"> temperature, the lattice becomes densely populated with hydrogen, leaving very few sites for nitrogen.</w:t>
      </w:r>
    </w:p>
    <w:p w14:paraId="241A6C57" w14:textId="3D083D13" w:rsidR="00834461" w:rsidRPr="00834461" w:rsidRDefault="00DA6879" w:rsidP="001D16EC">
      <w:pPr>
        <w:spacing w:line="360" w:lineRule="auto"/>
        <w:ind w:firstLine="360"/>
        <w:jc w:val="both"/>
        <w:rPr>
          <w:rFonts w:ascii="Times New Roman" w:hAnsi="Times New Roman" w:cs="Times New Roman"/>
          <w:sz w:val="24"/>
          <w:szCs w:val="24"/>
        </w:rPr>
      </w:pPr>
      <w:r w:rsidRPr="00DA6879">
        <w:rPr>
          <w:rFonts w:ascii="Times New Roman" w:hAnsi="Times New Roman" w:cs="Times New Roman"/>
          <w:sz w:val="24"/>
          <w:szCs w:val="24"/>
        </w:rPr>
        <w:t>These results highlight that, under repulsive interactions, hydrogen shows a strong preference for adsorption at more favorable chemical potentials. Nitrogen only adsorbs significantly when hydrogen’s chemical potential is low. The competition between hydrogen and nitrogen for lattice sites becomes evident, especially as temperature rises and promotes thermal desorption. This combination of competitive adsorption and thermal effects shapes the adsorption landscape for both species.</w:t>
      </w:r>
    </w:p>
    <w:p w14:paraId="24BAFB7B" w14:textId="78221D83"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Attractive Interactions</w:t>
      </w:r>
      <w:r w:rsidR="00896C6B">
        <w:rPr>
          <w:rFonts w:ascii="Times New Roman" w:hAnsi="Times New Roman" w:cs="Times New Roman" w:hint="eastAsia"/>
          <w:b/>
          <w:bCs/>
          <w:sz w:val="24"/>
          <w:szCs w:val="24"/>
        </w:rPr>
        <w:t xml:space="preserve"> Scenario</w:t>
      </w:r>
    </w:p>
    <w:p w14:paraId="009C7E3B" w14:textId="7E1921BC" w:rsidR="00373495" w:rsidRDefault="00A52D56" w:rsidP="001D16EC">
      <w:pPr>
        <w:spacing w:line="360" w:lineRule="auto"/>
        <w:ind w:firstLine="360"/>
        <w:jc w:val="both"/>
        <w:rPr>
          <w:rFonts w:ascii="Times New Roman" w:hAnsi="Times New Roman" w:cs="Times New Roman"/>
          <w:sz w:val="24"/>
          <w:szCs w:val="24"/>
        </w:rPr>
      </w:pPr>
      <w:r>
        <w:rPr>
          <w:noProof/>
        </w:rPr>
        <w:lastRenderedPageBreak/>
        <w:drawing>
          <wp:inline distT="0" distB="0" distL="0" distR="0" wp14:anchorId="0C60D4E4" wp14:editId="58B70E34">
            <wp:extent cx="5423338" cy="3751721"/>
            <wp:effectExtent l="0" t="0" r="6350" b="1270"/>
            <wp:docPr id="87575434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9638" cy="3756079"/>
                    </a:xfrm>
                    <a:prstGeom prst="rect">
                      <a:avLst/>
                    </a:prstGeom>
                    <a:noFill/>
                    <a:ln>
                      <a:noFill/>
                    </a:ln>
                  </pic:spPr>
                </pic:pic>
              </a:graphicData>
            </a:graphic>
          </wp:inline>
        </w:drawing>
      </w:r>
    </w:p>
    <w:p w14:paraId="59505BE1" w14:textId="5E5351A8" w:rsidR="001813B9" w:rsidRPr="001813B9" w:rsidRDefault="001813B9" w:rsidP="001813B9">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3</w:t>
      </w:r>
      <w:r>
        <w:rPr>
          <w:rFonts w:eastAsiaTheme="minorEastAsia" w:hint="eastAsia"/>
          <w:kern w:val="2"/>
          <w14:ligatures w14:val="standardContextual"/>
        </w:rPr>
        <w:t xml:space="preserve">. (A) Phase diagram and (B) lattice for </w:t>
      </w:r>
      <w:r>
        <w:rPr>
          <w:rFonts w:eastAsiaTheme="minorEastAsia" w:hint="eastAsia"/>
          <w:kern w:val="2"/>
          <w14:ligatures w14:val="standardContextual"/>
        </w:rPr>
        <w:t>attractive interactions</w:t>
      </w:r>
      <w:r>
        <w:rPr>
          <w:rFonts w:eastAsiaTheme="minorEastAsia" w:hint="eastAsia"/>
          <w:kern w:val="2"/>
          <w14:ligatures w14:val="standardContextual"/>
        </w:rPr>
        <w:t>. The red circle denotes nitrogen and blue circle denotes hydrogen.</w:t>
      </w:r>
    </w:p>
    <w:p w14:paraId="1672CBEB" w14:textId="1B068DD5" w:rsidR="002A4CF2" w:rsidRPr="002A4CF2" w:rsidRDefault="002A4CF2" w:rsidP="001D16EC">
      <w:pPr>
        <w:spacing w:line="360" w:lineRule="auto"/>
        <w:ind w:firstLine="360"/>
        <w:jc w:val="both"/>
        <w:rPr>
          <w:rFonts w:ascii="Times New Roman" w:hAnsi="Times New Roman" w:cs="Times New Roman"/>
          <w:sz w:val="24"/>
          <w:szCs w:val="24"/>
        </w:rPr>
      </w:pPr>
      <w:r w:rsidRPr="002A4CF2">
        <w:rPr>
          <w:rFonts w:ascii="Times New Roman" w:hAnsi="Times New Roman" w:cs="Times New Roman"/>
          <w:sz w:val="24"/>
          <w:szCs w:val="24"/>
        </w:rPr>
        <w:t xml:space="preserve">In the case of attractive interactions, the results reveal different adsorption behavior for hydrogen and nitrogen on the lattice. The top row shows phase diagrams </w:t>
      </w:r>
      <w:r>
        <w:rPr>
          <w:rFonts w:ascii="Times New Roman" w:hAnsi="Times New Roman" w:cs="Times New Roman" w:hint="eastAsia"/>
          <w:sz w:val="24"/>
          <w:szCs w:val="24"/>
        </w:rPr>
        <w:t>and the</w:t>
      </w:r>
      <w:r w:rsidRPr="002A4CF2">
        <w:rPr>
          <w:rFonts w:ascii="Times New Roman" w:hAnsi="Times New Roman" w:cs="Times New Roman"/>
          <w:sz w:val="24"/>
          <w:szCs w:val="24"/>
        </w:rPr>
        <w:t xml:space="preserve"> bottom row presents lattice configurations at specific values of </w:t>
      </w:r>
      <w:proofErr w:type="spellStart"/>
      <w:r w:rsidRPr="002A4CF2">
        <w:rPr>
          <w:rFonts w:ascii="Times New Roman" w:hAnsi="Times New Roman" w:cs="Times New Roman"/>
          <w:sz w:val="24"/>
          <w:szCs w:val="24"/>
        </w:rPr>
        <w:t>μH</w:t>
      </w:r>
      <w:proofErr w:type="spellEnd"/>
      <w:r>
        <w:rPr>
          <w:rFonts w:ascii="Times New Roman" w:hAnsi="Times New Roman" w:cs="Times New Roman" w:hint="eastAsia"/>
          <w:sz w:val="24"/>
          <w:szCs w:val="24"/>
        </w:rPr>
        <w:t xml:space="preserve"> and</w:t>
      </w:r>
      <w:r w:rsidRPr="002A4CF2">
        <w:rPr>
          <w:rFonts w:ascii="Times New Roman" w:hAnsi="Times New Roman" w:cs="Times New Roman"/>
          <w:sz w:val="24"/>
          <w:szCs w:val="24"/>
        </w:rPr>
        <w:t xml:space="preserve"> T=116 K.</w:t>
      </w:r>
    </w:p>
    <w:p w14:paraId="6FE6DDC2" w14:textId="2C993BFE" w:rsidR="002A4CF2" w:rsidRPr="002A4CF2" w:rsidRDefault="00D90608"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 nitrogen, and combined coverage diagrams are shown in</w:t>
      </w:r>
      <w:r w:rsidR="002018CC">
        <w:rPr>
          <w:rFonts w:ascii="Times New Roman" w:hAnsi="Times New Roman" w:cs="Times New Roman" w:hint="eastAsia"/>
          <w:sz w:val="24"/>
          <w:szCs w:val="24"/>
        </w:rPr>
        <w:t xml:space="preserve"> </w:t>
      </w:r>
      <w:r w:rsidR="002018CC" w:rsidRPr="0003027C">
        <w:rPr>
          <w:rFonts w:ascii="Times New Roman" w:hAnsi="Times New Roman" w:cs="Times New Roman" w:hint="eastAsia"/>
          <w:b/>
          <w:bCs/>
          <w:sz w:val="24"/>
          <w:szCs w:val="24"/>
        </w:rPr>
        <w:t xml:space="preserve">Figure </w:t>
      </w:r>
      <w:r w:rsidR="002018CC">
        <w:rPr>
          <w:rFonts w:ascii="Times New Roman" w:hAnsi="Times New Roman" w:cs="Times New Roman" w:hint="eastAsia"/>
          <w:b/>
          <w:bCs/>
          <w:sz w:val="24"/>
          <w:szCs w:val="24"/>
        </w:rPr>
        <w:t>3</w:t>
      </w:r>
      <w:r w:rsidR="002018CC" w:rsidRPr="0003027C">
        <w:rPr>
          <w:rFonts w:ascii="Times New Roman" w:hAnsi="Times New Roman" w:cs="Times New Roman" w:hint="eastAsia"/>
          <w:b/>
          <w:bCs/>
          <w:sz w:val="24"/>
          <w:szCs w:val="24"/>
        </w:rPr>
        <w:t>A</w:t>
      </w:r>
      <w:r w:rsidR="002018CC">
        <w:rPr>
          <w:rFonts w:ascii="Times New Roman" w:hAnsi="Times New Roman" w:cs="Times New Roman" w:hint="eastAsia"/>
          <w:sz w:val="24"/>
          <w:szCs w:val="24"/>
        </w:rPr>
        <w:t xml:space="preserve">. </w:t>
      </w:r>
      <w:r w:rsidR="002A4CF2" w:rsidRPr="002A4CF2">
        <w:rPr>
          <w:rFonts w:ascii="Times New Roman" w:hAnsi="Times New Roman" w:cs="Times New Roman"/>
          <w:sz w:val="24"/>
          <w:szCs w:val="24"/>
        </w:rPr>
        <w:t xml:space="preserve">In the phase diagram for hydrogen coverage </w:t>
      </w:r>
      <w:r w:rsidR="002A4CF2" w:rsidRPr="002A4CF2">
        <w:rPr>
          <w:rFonts w:ascii="Cambria Math" w:hAnsi="Cambria Math" w:cs="Cambria Math"/>
          <w:sz w:val="24"/>
          <w:szCs w:val="24"/>
        </w:rPr>
        <w:t>⟨</w:t>
      </w:r>
      <w:proofErr w:type="spellStart"/>
      <w:r w:rsidR="002A4CF2" w:rsidRPr="002A4CF2">
        <w:rPr>
          <w:rFonts w:ascii="Times New Roman" w:hAnsi="Times New Roman" w:cs="Times New Roman"/>
          <w:sz w:val="24"/>
          <w:szCs w:val="24"/>
        </w:rPr>
        <w:t>θ</w:t>
      </w:r>
      <w:r w:rsidR="002A4CF2" w:rsidRPr="002A4CF2">
        <w:rPr>
          <w:rFonts w:ascii="Times New Roman" w:hAnsi="Times New Roman" w:cs="Times New Roman"/>
          <w:sz w:val="24"/>
          <w:szCs w:val="24"/>
          <w:vertAlign w:val="subscript"/>
        </w:rPr>
        <w:t>H</w:t>
      </w:r>
      <w:proofErr w:type="spellEnd"/>
      <w:r w:rsidR="002A4CF2" w:rsidRPr="002A4CF2">
        <w:rPr>
          <w:rFonts w:ascii="Cambria Math" w:hAnsi="Cambria Math" w:cs="Cambria Math"/>
          <w:sz w:val="24"/>
          <w:szCs w:val="24"/>
        </w:rPr>
        <w:t>⟩</w:t>
      </w:r>
      <w:r w:rsidR="002A4CF2" w:rsidRPr="002A4CF2">
        <w:rPr>
          <w:rFonts w:ascii="Times New Roman" w:hAnsi="Times New Roman" w:cs="Times New Roman"/>
          <w:sz w:val="24"/>
          <w:szCs w:val="24"/>
        </w:rPr>
        <w:t xml:space="preserve">, the adsorption is moderate across a range of </w:t>
      </w:r>
      <w:proofErr w:type="spellStart"/>
      <w:r w:rsidR="002A4CF2" w:rsidRPr="002A4CF2">
        <w:rPr>
          <w:rFonts w:ascii="Times New Roman" w:hAnsi="Times New Roman" w:cs="Times New Roman"/>
          <w:sz w:val="24"/>
          <w:szCs w:val="24"/>
        </w:rPr>
        <w:t>μ</w:t>
      </w:r>
      <w:r w:rsidR="002A4CF2" w:rsidRPr="002A4CF2">
        <w:rPr>
          <w:rFonts w:ascii="Times New Roman" w:hAnsi="Times New Roman" w:cs="Times New Roman"/>
          <w:sz w:val="24"/>
          <w:szCs w:val="24"/>
          <w:vertAlign w:val="subscript"/>
        </w:rPr>
        <w:t>H</w:t>
      </w:r>
      <w:proofErr w:type="spellEnd"/>
      <w:r w:rsidR="002A4CF2" w:rsidRPr="002A4CF2">
        <w:rPr>
          <w:rFonts w:ascii="Times New Roman" w:hAnsi="Times New Roman" w:cs="Times New Roman"/>
          <w:sz w:val="24"/>
          <w:szCs w:val="24"/>
        </w:rPr>
        <w:t xml:space="preserve"> values at low temperatures</w:t>
      </w:r>
      <w:r w:rsidR="008E3815">
        <w:rPr>
          <w:rFonts w:ascii="Times New Roman" w:hAnsi="Times New Roman" w:cs="Times New Roman" w:hint="eastAsia"/>
          <w:sz w:val="24"/>
          <w:szCs w:val="24"/>
        </w:rPr>
        <w:t xml:space="preserve"> (</w:t>
      </w:r>
      <w:r w:rsidR="008E3815" w:rsidRPr="008E3815">
        <w:rPr>
          <w:rFonts w:ascii="Times New Roman" w:hAnsi="Times New Roman" w:cs="Times New Roman" w:hint="eastAsia"/>
          <w:b/>
          <w:bCs/>
          <w:sz w:val="24"/>
          <w:szCs w:val="24"/>
        </w:rPr>
        <w:t>Figure 3A</w:t>
      </w:r>
      <w:r w:rsidR="008E3815">
        <w:rPr>
          <w:rFonts w:ascii="Times New Roman" w:hAnsi="Times New Roman" w:cs="Times New Roman" w:hint="eastAsia"/>
          <w:sz w:val="24"/>
          <w:szCs w:val="24"/>
        </w:rPr>
        <w:t>)</w:t>
      </w:r>
      <w:r w:rsidR="002A4CF2" w:rsidRPr="002A4CF2">
        <w:rPr>
          <w:rFonts w:ascii="Times New Roman" w:hAnsi="Times New Roman" w:cs="Times New Roman"/>
          <w:sz w:val="24"/>
          <w:szCs w:val="24"/>
        </w:rPr>
        <w:t>. This suggests that hydrogen adsorbs well due to attractive interactions, filling available sites more effectively. As temperature increases, hydrogen adsorption decreases slightly, indicating the onset of desorption.</w:t>
      </w:r>
      <w:r w:rsidR="009D1C11">
        <w:rPr>
          <w:rFonts w:ascii="Times New Roman" w:hAnsi="Times New Roman" w:cs="Times New Roman" w:hint="eastAsia"/>
          <w:sz w:val="24"/>
          <w:szCs w:val="24"/>
        </w:rPr>
        <w:t xml:space="preserve"> </w:t>
      </w:r>
      <w:r w:rsidR="002A4CF2" w:rsidRPr="002A4CF2">
        <w:rPr>
          <w:rFonts w:ascii="Times New Roman" w:hAnsi="Times New Roman" w:cs="Times New Roman"/>
          <w:sz w:val="24"/>
          <w:szCs w:val="24"/>
        </w:rPr>
        <w:t xml:space="preserve">The nitrogen coverage phase diagram </w:t>
      </w:r>
      <w:r w:rsidR="002A4CF2" w:rsidRPr="002A4CF2">
        <w:rPr>
          <w:rFonts w:ascii="Cambria Math" w:hAnsi="Cambria Math" w:cs="Cambria Math"/>
          <w:sz w:val="24"/>
          <w:szCs w:val="24"/>
        </w:rPr>
        <w:t>⟨</w:t>
      </w:r>
      <w:proofErr w:type="spellStart"/>
      <w:r w:rsidR="002A4CF2" w:rsidRPr="002A4CF2">
        <w:rPr>
          <w:rFonts w:ascii="Times New Roman" w:hAnsi="Times New Roman" w:cs="Times New Roman"/>
          <w:sz w:val="24"/>
          <w:szCs w:val="24"/>
        </w:rPr>
        <w:t>θN</w:t>
      </w:r>
      <w:proofErr w:type="spellEnd"/>
      <w:r w:rsidR="002A4CF2" w:rsidRPr="002A4CF2">
        <w:rPr>
          <w:rFonts w:ascii="Cambria Math" w:hAnsi="Cambria Math" w:cs="Cambria Math"/>
          <w:sz w:val="24"/>
          <w:szCs w:val="24"/>
        </w:rPr>
        <w:t>⟩</w:t>
      </w:r>
      <w:r w:rsidR="002A4CF2" w:rsidRPr="002A4CF2">
        <w:rPr>
          <w:rFonts w:ascii="Times New Roman" w:hAnsi="Times New Roman" w:cs="Times New Roman"/>
          <w:sz w:val="24"/>
          <w:szCs w:val="24"/>
        </w:rPr>
        <w:t xml:space="preserve"> shows similar behavior. Nitrogen adsorption is also moderate at low temperatures across various </w:t>
      </w:r>
      <w:proofErr w:type="spellStart"/>
      <w:r w:rsidR="002A4CF2" w:rsidRPr="002A4CF2">
        <w:rPr>
          <w:rFonts w:ascii="Times New Roman" w:hAnsi="Times New Roman" w:cs="Times New Roman"/>
          <w:sz w:val="24"/>
          <w:szCs w:val="24"/>
        </w:rPr>
        <w:t>μ</w:t>
      </w:r>
      <w:r w:rsidR="002A4CF2" w:rsidRPr="002A4CF2">
        <w:rPr>
          <w:rFonts w:ascii="Times New Roman" w:hAnsi="Times New Roman" w:cs="Times New Roman"/>
          <w:sz w:val="24"/>
          <w:szCs w:val="24"/>
          <w:vertAlign w:val="subscript"/>
        </w:rPr>
        <w:t>H</w:t>
      </w:r>
      <w:proofErr w:type="spellEnd"/>
      <w:r w:rsidR="002A4CF2" w:rsidRPr="002A4CF2">
        <w:rPr>
          <w:rFonts w:ascii="Times New Roman" w:hAnsi="Times New Roman" w:cs="Times New Roman"/>
          <w:sz w:val="24"/>
          <w:szCs w:val="24"/>
        </w:rPr>
        <w:t xml:space="preserve"> values, reflecting a strong tendency to adsorb due to attractive interactions. </w:t>
      </w:r>
      <w:r w:rsidR="005951B1">
        <w:rPr>
          <w:rFonts w:ascii="Times New Roman" w:hAnsi="Times New Roman" w:cs="Times New Roman" w:hint="eastAsia"/>
          <w:sz w:val="24"/>
          <w:szCs w:val="24"/>
        </w:rPr>
        <w:t>However, i</w:t>
      </w:r>
      <w:r w:rsidR="005951B1" w:rsidRPr="005951B1">
        <w:rPr>
          <w:rFonts w:ascii="Times New Roman" w:hAnsi="Times New Roman" w:cs="Times New Roman"/>
          <w:sz w:val="24"/>
          <w:szCs w:val="24"/>
        </w:rPr>
        <w:t xml:space="preserve">n the attractive interaction case, both hydrogen and nitrogen have an inherent tendency to adsorb and stabilize on the lattice. When hydrogen adsorption is less favorable due to the low </w:t>
      </w:r>
      <w:proofErr w:type="spellStart"/>
      <w:r w:rsidR="005951B1" w:rsidRPr="005951B1">
        <w:rPr>
          <w:rFonts w:ascii="Times New Roman" w:hAnsi="Times New Roman" w:cs="Times New Roman"/>
          <w:sz w:val="24"/>
          <w:szCs w:val="24"/>
        </w:rPr>
        <w:t>μ</w:t>
      </w:r>
      <w:r w:rsidR="005951B1" w:rsidRPr="005951B1">
        <w:rPr>
          <w:rFonts w:ascii="Times New Roman" w:hAnsi="Times New Roman" w:cs="Times New Roman"/>
          <w:sz w:val="24"/>
          <w:szCs w:val="24"/>
          <w:vertAlign w:val="subscript"/>
        </w:rPr>
        <w:t>H</w:t>
      </w:r>
      <w:proofErr w:type="spellEnd"/>
      <w:r w:rsidR="005951B1" w:rsidRPr="005951B1">
        <w:rPr>
          <w:rFonts w:ascii="Times New Roman" w:hAnsi="Times New Roman" w:cs="Times New Roman"/>
          <w:sz w:val="24"/>
          <w:szCs w:val="24"/>
        </w:rPr>
        <w:t xml:space="preserve">​, nitrogen can </w:t>
      </w:r>
      <w:r w:rsidR="005951B1" w:rsidRPr="005951B1">
        <w:rPr>
          <w:rFonts w:ascii="Times New Roman" w:hAnsi="Times New Roman" w:cs="Times New Roman"/>
          <w:sz w:val="24"/>
          <w:szCs w:val="24"/>
        </w:rPr>
        <w:lastRenderedPageBreak/>
        <w:t>take advantage of the available sites and adsorb more readily. Thus, the attractive interactions allow nitrogen to increase its coverage on the lattice in conditions where hydrogen is not as competitive.</w:t>
      </w:r>
    </w:p>
    <w:p w14:paraId="06D6401C" w14:textId="5AC64CF0" w:rsidR="002A4CF2" w:rsidRPr="002A4CF2" w:rsidRDefault="002A4CF2" w:rsidP="001D16EC">
      <w:pPr>
        <w:spacing w:line="360" w:lineRule="auto"/>
        <w:ind w:firstLine="360"/>
        <w:jc w:val="both"/>
        <w:rPr>
          <w:rFonts w:ascii="Times New Roman" w:hAnsi="Times New Roman" w:cs="Times New Roman"/>
          <w:sz w:val="24"/>
          <w:szCs w:val="24"/>
        </w:rPr>
      </w:pPr>
      <w:r w:rsidRPr="002A4CF2">
        <w:rPr>
          <w:rFonts w:ascii="Times New Roman" w:hAnsi="Times New Roman" w:cs="Times New Roman"/>
          <w:sz w:val="24"/>
          <w:szCs w:val="24"/>
        </w:rPr>
        <w:t xml:space="preserve">The combined coverage phase diagram </w:t>
      </w:r>
      <w:r w:rsidRPr="002A4CF2">
        <w:rPr>
          <w:rFonts w:ascii="Cambria Math" w:hAnsi="Cambria Math" w:cs="Cambria Math"/>
          <w:sz w:val="24"/>
          <w:szCs w:val="24"/>
        </w:rPr>
        <w:t>⟨</w:t>
      </w:r>
      <w:proofErr w:type="spellStart"/>
      <w:r w:rsidRPr="002A4CF2">
        <w:rPr>
          <w:rFonts w:ascii="Times New Roman" w:hAnsi="Times New Roman" w:cs="Times New Roman"/>
          <w:sz w:val="24"/>
          <w:szCs w:val="24"/>
        </w:rPr>
        <w:t>θ</w:t>
      </w:r>
      <w:r w:rsidRPr="002A4CF2">
        <w:rPr>
          <w:rFonts w:ascii="Times New Roman" w:hAnsi="Times New Roman" w:cs="Times New Roman"/>
          <w:sz w:val="24"/>
          <w:szCs w:val="24"/>
          <w:vertAlign w:val="subscript"/>
        </w:rPr>
        <w:t>H</w:t>
      </w:r>
      <w:r w:rsidRPr="002A4CF2">
        <w:rPr>
          <w:rFonts w:ascii="Times New Roman" w:hAnsi="Times New Roman" w:cs="Times New Roman"/>
          <w:sz w:val="24"/>
          <w:szCs w:val="24"/>
        </w:rPr>
        <w:t>+θ</w:t>
      </w:r>
      <w:r w:rsidRPr="002A4CF2">
        <w:rPr>
          <w:rFonts w:ascii="Times New Roman" w:hAnsi="Times New Roman" w:cs="Times New Roman"/>
          <w:sz w:val="24"/>
          <w:szCs w:val="24"/>
          <w:vertAlign w:val="subscript"/>
        </w:rPr>
        <w:t>N</w:t>
      </w:r>
      <w:proofErr w:type="spellEnd"/>
      <w:r w:rsidRPr="002A4CF2">
        <w:rPr>
          <w:rFonts w:ascii="Cambria Math" w:hAnsi="Cambria Math" w:cs="Cambria Math"/>
          <w:sz w:val="24"/>
          <w:szCs w:val="24"/>
        </w:rPr>
        <w:t>⟩</w:t>
      </w:r>
      <w:r w:rsidR="008D6865">
        <w:rPr>
          <w:rFonts w:ascii="Cambria Math" w:hAnsi="Cambria Math" w:cs="Cambria Math" w:hint="eastAsia"/>
          <w:sz w:val="24"/>
          <w:szCs w:val="24"/>
        </w:rPr>
        <w:t xml:space="preserve"> support </w:t>
      </w:r>
      <w:r w:rsidR="008D6865">
        <w:rPr>
          <w:rFonts w:ascii="Cambria Math" w:hAnsi="Cambria Math" w:cs="Cambria Math"/>
          <w:sz w:val="24"/>
          <w:szCs w:val="24"/>
        </w:rPr>
        <w:t>this phenomenon</w:t>
      </w:r>
      <w:r w:rsidR="008D6865">
        <w:rPr>
          <w:rFonts w:ascii="Cambria Math" w:hAnsi="Cambria Math" w:cs="Cambria Math" w:hint="eastAsia"/>
          <w:sz w:val="24"/>
          <w:szCs w:val="24"/>
        </w:rPr>
        <w:t>. It is satur</w:t>
      </w:r>
      <w:r w:rsidRPr="002A4CF2">
        <w:rPr>
          <w:rFonts w:ascii="Times New Roman" w:hAnsi="Times New Roman" w:cs="Times New Roman"/>
          <w:sz w:val="24"/>
          <w:szCs w:val="24"/>
        </w:rPr>
        <w:t xml:space="preserve">ated at high values across all </w:t>
      </w:r>
      <w:proofErr w:type="spellStart"/>
      <w:r w:rsidRPr="002A4CF2">
        <w:rPr>
          <w:rFonts w:ascii="Times New Roman" w:hAnsi="Times New Roman" w:cs="Times New Roman"/>
          <w:sz w:val="24"/>
          <w:szCs w:val="24"/>
        </w:rPr>
        <w:t>μ</w:t>
      </w:r>
      <w:r w:rsidRPr="002A4CF2">
        <w:rPr>
          <w:rFonts w:ascii="Times New Roman" w:hAnsi="Times New Roman" w:cs="Times New Roman"/>
          <w:sz w:val="24"/>
          <w:szCs w:val="24"/>
          <w:vertAlign w:val="subscript"/>
        </w:rPr>
        <w:t>H</w:t>
      </w:r>
      <w:proofErr w:type="spellEnd"/>
      <w:r w:rsidRPr="002A4CF2">
        <w:rPr>
          <w:rFonts w:ascii="Times New Roman" w:hAnsi="Times New Roman" w:cs="Times New Roman"/>
          <w:sz w:val="24"/>
          <w:szCs w:val="24"/>
        </w:rPr>
        <w:t>​ and T ranges. This high combined coverage suggests that both hydrogen and nitrogen can coexist on the lattice without significant competition due to the attractive interactions, which promote full lattice occupancy.</w:t>
      </w:r>
    </w:p>
    <w:p w14:paraId="6466238C" w14:textId="09F04AAA" w:rsidR="002A4CF2" w:rsidRPr="002A4CF2" w:rsidRDefault="002A4CF2" w:rsidP="001D16EC">
      <w:pPr>
        <w:spacing w:line="360" w:lineRule="auto"/>
        <w:ind w:firstLine="360"/>
        <w:jc w:val="both"/>
        <w:rPr>
          <w:rFonts w:ascii="Times New Roman" w:hAnsi="Times New Roman" w:cs="Times New Roman"/>
          <w:sz w:val="24"/>
          <w:szCs w:val="24"/>
        </w:rPr>
      </w:pPr>
      <w:r w:rsidRPr="002A4CF2">
        <w:rPr>
          <w:rFonts w:ascii="Times New Roman" w:hAnsi="Times New Roman" w:cs="Times New Roman"/>
          <w:sz w:val="24"/>
          <w:szCs w:val="24"/>
        </w:rPr>
        <w:t>The lattice configurations further support these observations</w:t>
      </w:r>
      <w:r w:rsidR="00A704EA">
        <w:rPr>
          <w:rFonts w:ascii="Times New Roman" w:hAnsi="Times New Roman" w:cs="Times New Roman" w:hint="eastAsia"/>
          <w:sz w:val="24"/>
          <w:szCs w:val="24"/>
        </w:rPr>
        <w:t xml:space="preserve"> (</w:t>
      </w:r>
      <w:r w:rsidR="00A704EA" w:rsidRPr="00A704EA">
        <w:rPr>
          <w:rFonts w:ascii="Times New Roman" w:hAnsi="Times New Roman" w:cs="Times New Roman" w:hint="eastAsia"/>
          <w:b/>
          <w:bCs/>
          <w:sz w:val="24"/>
          <w:szCs w:val="24"/>
        </w:rPr>
        <w:t>Figure 3B</w:t>
      </w:r>
      <w:r w:rsidR="00A704EA">
        <w:rPr>
          <w:rFonts w:ascii="Times New Roman" w:hAnsi="Times New Roman" w:cs="Times New Roman" w:hint="eastAsia"/>
          <w:sz w:val="24"/>
          <w:szCs w:val="24"/>
        </w:rPr>
        <w:t>)</w:t>
      </w:r>
      <w:r w:rsidRPr="002A4CF2">
        <w:rPr>
          <w:rFonts w:ascii="Times New Roman" w:hAnsi="Times New Roman" w:cs="Times New Roman"/>
          <w:sz w:val="24"/>
          <w:szCs w:val="24"/>
        </w:rPr>
        <w:t xml:space="preserve">. At </w:t>
      </w:r>
      <w:proofErr w:type="spellStart"/>
      <w:r w:rsidRPr="002A4CF2">
        <w:rPr>
          <w:rFonts w:ascii="Times New Roman" w:hAnsi="Times New Roman" w:cs="Times New Roman"/>
          <w:sz w:val="24"/>
          <w:szCs w:val="24"/>
        </w:rPr>
        <w:t>μ</w:t>
      </w:r>
      <w:r w:rsidRPr="002A4CF2">
        <w:rPr>
          <w:rFonts w:ascii="Times New Roman" w:hAnsi="Times New Roman" w:cs="Times New Roman"/>
          <w:sz w:val="24"/>
          <w:szCs w:val="24"/>
          <w:vertAlign w:val="subscript"/>
        </w:rPr>
        <w:t>H</w:t>
      </w:r>
      <w:proofErr w:type="spellEnd"/>
      <w:r w:rsidRPr="002A4CF2">
        <w:rPr>
          <w:rFonts w:ascii="Times New Roman" w:hAnsi="Times New Roman" w:cs="Times New Roman"/>
          <w:sz w:val="24"/>
          <w:szCs w:val="24"/>
        </w:rPr>
        <w:t xml:space="preserve">=−0.2 eV and T=116T, the lattice shows a balanced distribution of nitrogen and hydrogen, indicating high adsorption for both species. As </w:t>
      </w:r>
      <w:proofErr w:type="spellStart"/>
      <w:r w:rsidRPr="002A4CF2">
        <w:rPr>
          <w:rFonts w:ascii="Times New Roman" w:hAnsi="Times New Roman" w:cs="Times New Roman"/>
          <w:sz w:val="24"/>
          <w:szCs w:val="24"/>
        </w:rPr>
        <w:t>μ</w:t>
      </w:r>
      <w:r w:rsidRPr="002A4CF2">
        <w:rPr>
          <w:rFonts w:ascii="Times New Roman" w:hAnsi="Times New Roman" w:cs="Times New Roman"/>
          <w:sz w:val="24"/>
          <w:szCs w:val="24"/>
          <w:vertAlign w:val="subscript"/>
        </w:rPr>
        <w:t>H</w:t>
      </w:r>
      <w:proofErr w:type="spellEnd"/>
      <w:r w:rsidR="00630031">
        <w:rPr>
          <w:rFonts w:ascii="Times New Roman" w:hAnsi="Times New Roman" w:cs="Times New Roman" w:hint="eastAsia"/>
          <w:sz w:val="24"/>
          <w:szCs w:val="24"/>
          <w:vertAlign w:val="subscript"/>
        </w:rPr>
        <w:t xml:space="preserve"> </w:t>
      </w:r>
      <w:r w:rsidRPr="002A4CF2">
        <w:rPr>
          <w:rFonts w:ascii="Times New Roman" w:hAnsi="Times New Roman" w:cs="Times New Roman"/>
          <w:sz w:val="24"/>
          <w:szCs w:val="24"/>
        </w:rPr>
        <w:t xml:space="preserve">increases to -0.1 eV, both gases remain highly adsorbed, maintaining nearly full lattice coverage. At </w:t>
      </w:r>
      <w:proofErr w:type="spellStart"/>
      <w:r w:rsidRPr="002A4CF2">
        <w:rPr>
          <w:rFonts w:ascii="Times New Roman" w:hAnsi="Times New Roman" w:cs="Times New Roman"/>
          <w:sz w:val="24"/>
          <w:szCs w:val="24"/>
        </w:rPr>
        <w:t>μ</w:t>
      </w:r>
      <w:r w:rsidRPr="002A4CF2">
        <w:rPr>
          <w:rFonts w:ascii="Times New Roman" w:hAnsi="Times New Roman" w:cs="Times New Roman"/>
          <w:sz w:val="24"/>
          <w:szCs w:val="24"/>
          <w:vertAlign w:val="subscript"/>
        </w:rPr>
        <w:t>H</w:t>
      </w:r>
      <w:proofErr w:type="spellEnd"/>
      <w:r w:rsidRPr="002A4CF2">
        <w:rPr>
          <w:rFonts w:ascii="Times New Roman" w:hAnsi="Times New Roman" w:cs="Times New Roman"/>
          <w:sz w:val="24"/>
          <w:szCs w:val="24"/>
        </w:rPr>
        <w:t>=0 eV, the lattice is densely occupied by both gases, showing a mixed but stable pattern due to the attractive forces.</w:t>
      </w:r>
    </w:p>
    <w:p w14:paraId="344E682A" w14:textId="062B468A" w:rsidR="00834461" w:rsidRPr="00834461" w:rsidRDefault="0078602D" w:rsidP="00801B42">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To sum up</w:t>
      </w:r>
      <w:r w:rsidR="002A4CF2" w:rsidRPr="002A4CF2">
        <w:rPr>
          <w:rFonts w:ascii="Times New Roman" w:hAnsi="Times New Roman" w:cs="Times New Roman"/>
          <w:sz w:val="24"/>
          <w:szCs w:val="24"/>
        </w:rPr>
        <w:t xml:space="preserve">, the attractive interactions enable both hydrogen and nitrogen to adsorb efficiently at low and moderate </w:t>
      </w:r>
      <w:proofErr w:type="spellStart"/>
      <w:r w:rsidR="002A4CF2" w:rsidRPr="002A4CF2">
        <w:rPr>
          <w:rFonts w:ascii="Times New Roman" w:hAnsi="Times New Roman" w:cs="Times New Roman"/>
          <w:sz w:val="24"/>
          <w:szCs w:val="24"/>
        </w:rPr>
        <w:t>μ</w:t>
      </w:r>
      <w:r w:rsidR="002A4CF2" w:rsidRPr="002A4CF2">
        <w:rPr>
          <w:rFonts w:ascii="Times New Roman" w:hAnsi="Times New Roman" w:cs="Times New Roman"/>
          <w:sz w:val="24"/>
          <w:szCs w:val="24"/>
          <w:vertAlign w:val="subscript"/>
        </w:rPr>
        <w:t>H</w:t>
      </w:r>
      <w:proofErr w:type="spellEnd"/>
      <w:r w:rsidR="002A4CF2" w:rsidRPr="002A4CF2">
        <w:rPr>
          <w:rFonts w:ascii="Times New Roman" w:hAnsi="Times New Roman" w:cs="Times New Roman"/>
          <w:sz w:val="24"/>
          <w:szCs w:val="24"/>
        </w:rPr>
        <w:t>​ values. The high coverage across the lattice, even at elevated temperatures, demonstrates the impact of attractive interactions in stabilizing both gases on the lattice.</w:t>
      </w:r>
    </w:p>
    <w:p w14:paraId="3EFEDBDD" w14:textId="743A12C3"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Immiscible</w:t>
      </w:r>
      <w:r w:rsidR="00896C6B">
        <w:rPr>
          <w:rFonts w:ascii="Times New Roman" w:hAnsi="Times New Roman" w:cs="Times New Roman" w:hint="eastAsia"/>
          <w:b/>
          <w:bCs/>
          <w:sz w:val="24"/>
          <w:szCs w:val="24"/>
        </w:rPr>
        <w:t xml:space="preserve"> Scenario</w:t>
      </w:r>
    </w:p>
    <w:p w14:paraId="3593AC3F" w14:textId="73114EA8" w:rsidR="00C036F5" w:rsidRDefault="00A5651F" w:rsidP="00483188">
      <w:pPr>
        <w:spacing w:line="360" w:lineRule="auto"/>
        <w:ind w:firstLine="360"/>
        <w:jc w:val="center"/>
        <w:rPr>
          <w:rFonts w:ascii="Times New Roman" w:hAnsi="Times New Roman" w:cs="Times New Roman"/>
          <w:sz w:val="24"/>
          <w:szCs w:val="24"/>
        </w:rPr>
      </w:pPr>
      <w:r>
        <w:rPr>
          <w:noProof/>
        </w:rPr>
        <w:drawing>
          <wp:inline distT="0" distB="0" distL="0" distR="0" wp14:anchorId="6AD4C8D5" wp14:editId="727B2EB5">
            <wp:extent cx="5114231" cy="3537889"/>
            <wp:effectExtent l="0" t="0" r="0" b="5715"/>
            <wp:docPr id="54199105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3297" cy="3564914"/>
                    </a:xfrm>
                    <a:prstGeom prst="rect">
                      <a:avLst/>
                    </a:prstGeom>
                    <a:noFill/>
                    <a:ln>
                      <a:noFill/>
                    </a:ln>
                  </pic:spPr>
                </pic:pic>
              </a:graphicData>
            </a:graphic>
          </wp:inline>
        </w:drawing>
      </w:r>
    </w:p>
    <w:p w14:paraId="47DEB49D" w14:textId="634BC607" w:rsidR="001813B9" w:rsidRPr="001813B9" w:rsidRDefault="001813B9" w:rsidP="001813B9">
      <w:pPr>
        <w:pStyle w:val="a4"/>
        <w:spacing w:line="360" w:lineRule="auto"/>
        <w:rPr>
          <w:rFonts w:eastAsiaTheme="minorEastAsia"/>
          <w:kern w:val="2"/>
          <w14:ligatures w14:val="standardContextual"/>
        </w:rPr>
      </w:pPr>
      <w:r>
        <w:rPr>
          <w:rFonts w:eastAsiaTheme="minorEastAsia" w:hint="eastAsia"/>
          <w:b/>
          <w:bCs/>
          <w:kern w:val="2"/>
          <w14:ligatures w14:val="standardContextual"/>
        </w:rPr>
        <w:lastRenderedPageBreak/>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4</w:t>
      </w:r>
      <w:r>
        <w:rPr>
          <w:rFonts w:eastAsiaTheme="minorEastAsia" w:hint="eastAsia"/>
          <w:kern w:val="2"/>
          <w14:ligatures w14:val="standardContextual"/>
        </w:rPr>
        <w:t>. (A) Phase diagram and (B) lattice fo</w:t>
      </w:r>
      <w:r>
        <w:rPr>
          <w:rFonts w:eastAsiaTheme="minorEastAsia" w:hint="eastAsia"/>
          <w:kern w:val="2"/>
          <w14:ligatures w14:val="standardContextual"/>
        </w:rPr>
        <w:t>r immiscible case</w:t>
      </w:r>
      <w:r>
        <w:rPr>
          <w:rFonts w:eastAsiaTheme="minorEastAsia" w:hint="eastAsia"/>
          <w:kern w:val="2"/>
          <w14:ligatures w14:val="standardContextual"/>
        </w:rPr>
        <w:t>. The red circle denotes nitrogen and blue circle denotes hydrogen.</w:t>
      </w:r>
    </w:p>
    <w:p w14:paraId="5428A844" w14:textId="45D28F6B" w:rsidR="0052104B" w:rsidRPr="0052104B" w:rsidRDefault="0052104B" w:rsidP="001D16EC">
      <w:pPr>
        <w:spacing w:line="360" w:lineRule="auto"/>
        <w:ind w:firstLine="360"/>
        <w:jc w:val="both"/>
        <w:rPr>
          <w:rFonts w:ascii="Times New Roman" w:hAnsi="Times New Roman" w:cs="Times New Roman"/>
          <w:sz w:val="24"/>
          <w:szCs w:val="24"/>
        </w:rPr>
      </w:pPr>
      <w:r w:rsidRPr="0052104B">
        <w:rPr>
          <w:rFonts w:ascii="Times New Roman" w:hAnsi="Times New Roman" w:cs="Times New Roman"/>
          <w:sz w:val="24"/>
          <w:szCs w:val="24"/>
        </w:rPr>
        <w:t xml:space="preserve">In the immiscible case, the results show distinct adsorption behavior for hydrogen and nitrogen, with minimal mixing on the lattice. The top row displays phase diagrams </w:t>
      </w:r>
      <w:r w:rsidR="00CA5EA7">
        <w:rPr>
          <w:rFonts w:ascii="Times New Roman" w:hAnsi="Times New Roman" w:cs="Times New Roman" w:hint="eastAsia"/>
          <w:sz w:val="24"/>
          <w:szCs w:val="24"/>
        </w:rPr>
        <w:t>and t</w:t>
      </w:r>
      <w:r w:rsidRPr="0052104B">
        <w:rPr>
          <w:rFonts w:ascii="Times New Roman" w:hAnsi="Times New Roman" w:cs="Times New Roman"/>
          <w:sz w:val="24"/>
          <w:szCs w:val="24"/>
        </w:rPr>
        <w:t xml:space="preserve">he bottom row presents the lattice configurations at specific values of </w:t>
      </w:r>
      <w:proofErr w:type="spellStart"/>
      <w:r w:rsidRPr="0052104B">
        <w:rPr>
          <w:rFonts w:ascii="Times New Roman" w:hAnsi="Times New Roman" w:cs="Times New Roman"/>
          <w:sz w:val="24"/>
          <w:szCs w:val="24"/>
        </w:rPr>
        <w:t>μ</w:t>
      </w:r>
      <w:r w:rsidRPr="0052104B">
        <w:rPr>
          <w:rFonts w:ascii="Times New Roman" w:hAnsi="Times New Roman" w:cs="Times New Roman"/>
          <w:sz w:val="24"/>
          <w:szCs w:val="24"/>
          <w:vertAlign w:val="subscript"/>
        </w:rPr>
        <w:t>H</w:t>
      </w:r>
      <w:proofErr w:type="spellEnd"/>
      <w:r w:rsidR="00CA5EA7">
        <w:rPr>
          <w:rFonts w:ascii="Times New Roman" w:hAnsi="Times New Roman" w:cs="Times New Roman" w:hint="eastAsia"/>
          <w:sz w:val="24"/>
          <w:szCs w:val="24"/>
        </w:rPr>
        <w:t xml:space="preserve"> </w:t>
      </w:r>
      <w:r w:rsidRPr="0052104B">
        <w:rPr>
          <w:rFonts w:ascii="Times New Roman" w:hAnsi="Times New Roman" w:cs="Times New Roman"/>
          <w:sz w:val="24"/>
          <w:szCs w:val="24"/>
        </w:rPr>
        <w:t>and T=116 K.</w:t>
      </w:r>
    </w:p>
    <w:p w14:paraId="3FE6CFFA" w14:textId="5CCA4D5E" w:rsidR="0052104B" w:rsidRPr="0052104B" w:rsidRDefault="00CF1111"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w:t>
      </w:r>
      <w:r w:rsidR="006D6EE5">
        <w:rPr>
          <w:rFonts w:ascii="Times New Roman" w:hAnsi="Times New Roman" w:cs="Times New Roman" w:hint="eastAsia"/>
          <w:sz w:val="24"/>
          <w:szCs w:val="24"/>
        </w:rPr>
        <w:t xml:space="preserve">, </w:t>
      </w:r>
      <w:r>
        <w:rPr>
          <w:rFonts w:ascii="Times New Roman" w:hAnsi="Times New Roman" w:cs="Times New Roman" w:hint="eastAsia"/>
          <w:sz w:val="24"/>
          <w:szCs w:val="24"/>
        </w:rPr>
        <w:t>ni</w:t>
      </w:r>
      <w:r w:rsidR="006D6EE5">
        <w:rPr>
          <w:rFonts w:ascii="Times New Roman" w:hAnsi="Times New Roman" w:cs="Times New Roman" w:hint="eastAsia"/>
          <w:sz w:val="24"/>
          <w:szCs w:val="24"/>
        </w:rPr>
        <w:t>t</w:t>
      </w:r>
      <w:r>
        <w:rPr>
          <w:rFonts w:ascii="Times New Roman" w:hAnsi="Times New Roman" w:cs="Times New Roman" w:hint="eastAsia"/>
          <w:sz w:val="24"/>
          <w:szCs w:val="24"/>
        </w:rPr>
        <w:t xml:space="preserve">rogen, </w:t>
      </w:r>
      <w:r w:rsidR="006D6EE5">
        <w:rPr>
          <w:rFonts w:ascii="Times New Roman" w:hAnsi="Times New Roman" w:cs="Times New Roman" w:hint="eastAsia"/>
          <w:sz w:val="24"/>
          <w:szCs w:val="24"/>
        </w:rPr>
        <w:t xml:space="preserve">and </w:t>
      </w:r>
      <w:r>
        <w:rPr>
          <w:rFonts w:ascii="Times New Roman" w:hAnsi="Times New Roman" w:cs="Times New Roman" w:hint="eastAsia"/>
          <w:sz w:val="24"/>
          <w:szCs w:val="24"/>
        </w:rPr>
        <w:t>combined coverage</w:t>
      </w:r>
      <w:r w:rsidR="006D6EE5">
        <w:rPr>
          <w:rFonts w:ascii="Times New Roman" w:hAnsi="Times New Roman" w:cs="Times New Roman" w:hint="eastAsia"/>
          <w:sz w:val="24"/>
          <w:szCs w:val="24"/>
        </w:rPr>
        <w:t xml:space="preserve"> diagrams are </w:t>
      </w:r>
      <w:r>
        <w:rPr>
          <w:rFonts w:ascii="Times New Roman" w:hAnsi="Times New Roman" w:cs="Times New Roman" w:hint="eastAsia"/>
          <w:sz w:val="24"/>
          <w:szCs w:val="24"/>
        </w:rPr>
        <w:t xml:space="preserve">shown in </w:t>
      </w:r>
      <w:r w:rsidRPr="0003027C">
        <w:rPr>
          <w:rFonts w:ascii="Times New Roman" w:hAnsi="Times New Roman" w:cs="Times New Roman" w:hint="eastAsia"/>
          <w:b/>
          <w:bCs/>
          <w:sz w:val="24"/>
          <w:szCs w:val="24"/>
        </w:rPr>
        <w:t xml:space="preserve">Figure </w:t>
      </w:r>
      <w:r>
        <w:rPr>
          <w:rFonts w:ascii="Times New Roman" w:hAnsi="Times New Roman" w:cs="Times New Roman" w:hint="eastAsia"/>
          <w:b/>
          <w:bCs/>
          <w:sz w:val="24"/>
          <w:szCs w:val="24"/>
        </w:rPr>
        <w:t>4</w:t>
      </w:r>
      <w:r w:rsidRPr="0003027C">
        <w:rPr>
          <w:rFonts w:ascii="Times New Roman" w:hAnsi="Times New Roman" w:cs="Times New Roman" w:hint="eastAsia"/>
          <w:b/>
          <w:bCs/>
          <w:sz w:val="24"/>
          <w:szCs w:val="24"/>
        </w:rPr>
        <w:t>A</w:t>
      </w:r>
      <w:r>
        <w:rPr>
          <w:rFonts w:ascii="Times New Roman" w:hAnsi="Times New Roman" w:cs="Times New Roman" w:hint="eastAsia"/>
          <w:b/>
          <w:bCs/>
          <w:sz w:val="24"/>
          <w:szCs w:val="24"/>
        </w:rPr>
        <w:t>.</w:t>
      </w:r>
      <w:r w:rsidRPr="0052104B">
        <w:rPr>
          <w:rFonts w:ascii="Times New Roman" w:hAnsi="Times New Roman" w:cs="Times New Roman"/>
          <w:sz w:val="24"/>
          <w:szCs w:val="24"/>
        </w:rPr>
        <w:t xml:space="preserve"> </w:t>
      </w:r>
      <w:r w:rsidR="0052104B" w:rsidRPr="0052104B">
        <w:rPr>
          <w:rFonts w:ascii="Times New Roman" w:hAnsi="Times New Roman" w:cs="Times New Roman"/>
          <w:sz w:val="24"/>
          <w:szCs w:val="24"/>
        </w:rPr>
        <w:t xml:space="preserve">In the phase diagram for hydrogen coverage </w:t>
      </w:r>
      <w:r w:rsidR="0052104B" w:rsidRPr="0052104B">
        <w:rPr>
          <w:rFonts w:ascii="Cambria Math" w:hAnsi="Cambria Math" w:cs="Cambria Math"/>
          <w:sz w:val="24"/>
          <w:szCs w:val="24"/>
        </w:rPr>
        <w:t>⟨</w:t>
      </w:r>
      <w:proofErr w:type="spellStart"/>
      <w:r w:rsidR="0052104B" w:rsidRPr="0052104B">
        <w:rPr>
          <w:rFonts w:ascii="Times New Roman" w:hAnsi="Times New Roman" w:cs="Times New Roman"/>
          <w:sz w:val="24"/>
          <w:szCs w:val="24"/>
        </w:rPr>
        <w:t>θ</w:t>
      </w:r>
      <w:r w:rsidR="0052104B" w:rsidRPr="0052104B">
        <w:rPr>
          <w:rFonts w:ascii="Times New Roman" w:hAnsi="Times New Roman" w:cs="Times New Roman"/>
          <w:sz w:val="24"/>
          <w:szCs w:val="24"/>
          <w:vertAlign w:val="subscript"/>
        </w:rPr>
        <w:t>H</w:t>
      </w:r>
      <w:proofErr w:type="spellEnd"/>
      <w:r w:rsidR="0052104B" w:rsidRPr="0052104B">
        <w:rPr>
          <w:rFonts w:ascii="Cambria Math" w:hAnsi="Cambria Math" w:cs="Cambria Math"/>
          <w:sz w:val="24"/>
          <w:szCs w:val="24"/>
        </w:rPr>
        <w:t>⟩</w:t>
      </w:r>
      <w:r w:rsidR="0052104B" w:rsidRPr="0052104B">
        <w:rPr>
          <w:rFonts w:ascii="Times New Roman" w:hAnsi="Times New Roman" w:cs="Times New Roman"/>
          <w:sz w:val="24"/>
          <w:szCs w:val="24"/>
        </w:rPr>
        <w:t xml:space="preserve">, adsorption increases as </w:t>
      </w:r>
      <w:proofErr w:type="spellStart"/>
      <w:r w:rsidR="0052104B" w:rsidRPr="0052104B">
        <w:rPr>
          <w:rFonts w:ascii="Times New Roman" w:hAnsi="Times New Roman" w:cs="Times New Roman"/>
          <w:sz w:val="24"/>
          <w:szCs w:val="24"/>
        </w:rPr>
        <w:t>μ</w:t>
      </w:r>
      <w:r w:rsidR="0052104B" w:rsidRPr="0052104B">
        <w:rPr>
          <w:rFonts w:ascii="Times New Roman" w:hAnsi="Times New Roman" w:cs="Times New Roman"/>
          <w:sz w:val="24"/>
          <w:szCs w:val="24"/>
          <w:vertAlign w:val="subscript"/>
        </w:rPr>
        <w:t>H</w:t>
      </w:r>
      <w:proofErr w:type="spellEnd"/>
      <w:r w:rsidR="00710DB3" w:rsidRPr="0052104B">
        <w:rPr>
          <w:rFonts w:ascii="Times New Roman" w:hAnsi="Times New Roman" w:cs="Times New Roman"/>
          <w:sz w:val="24"/>
          <w:szCs w:val="24"/>
        </w:rPr>
        <w:t xml:space="preserve"> </w:t>
      </w:r>
      <w:r w:rsidR="0052104B" w:rsidRPr="0052104B">
        <w:rPr>
          <w:rFonts w:ascii="Times New Roman" w:hAnsi="Times New Roman" w:cs="Times New Roman"/>
          <w:sz w:val="24"/>
          <w:szCs w:val="24"/>
        </w:rPr>
        <w:t xml:space="preserve">​ becomes more positive, especially at low temperatures. Hydrogen coverage reaches high levels when </w:t>
      </w:r>
      <w:proofErr w:type="spellStart"/>
      <w:r w:rsidR="0052104B" w:rsidRPr="0052104B">
        <w:rPr>
          <w:rFonts w:ascii="Times New Roman" w:hAnsi="Times New Roman" w:cs="Times New Roman"/>
          <w:sz w:val="24"/>
          <w:szCs w:val="24"/>
        </w:rPr>
        <w:t>μ</w:t>
      </w:r>
      <w:r w:rsidR="0052104B" w:rsidRPr="0052104B">
        <w:rPr>
          <w:rFonts w:ascii="Times New Roman" w:hAnsi="Times New Roman" w:cs="Times New Roman"/>
          <w:sz w:val="24"/>
          <w:szCs w:val="24"/>
          <w:vertAlign w:val="subscript"/>
        </w:rPr>
        <w:t>H</w:t>
      </w:r>
      <w:proofErr w:type="spellEnd"/>
      <w:r w:rsidR="0052104B" w:rsidRPr="0052104B">
        <w:rPr>
          <w:rFonts w:ascii="Times New Roman" w:hAnsi="Times New Roman" w:cs="Times New Roman"/>
          <w:sz w:val="24"/>
          <w:szCs w:val="24"/>
        </w:rPr>
        <w:t>​ is closer to 0 eV, indicating that hydrogen adsorbs strongly when its chemical potential is favorable. As temperature rises, hydrogen adsorption decreases due to thermal desorption</w:t>
      </w:r>
      <w:r w:rsidR="003949BE">
        <w:rPr>
          <w:rFonts w:ascii="Times New Roman" w:hAnsi="Times New Roman" w:cs="Times New Roman"/>
          <w:sz w:val="24"/>
          <w:szCs w:val="24"/>
        </w:rPr>
        <w:t>.</w:t>
      </w:r>
      <w:r w:rsidR="006D0408" w:rsidRPr="006D0408">
        <w:t xml:space="preserve"> </w:t>
      </w:r>
      <w:r w:rsidR="006D0408" w:rsidRPr="006D0408">
        <w:rPr>
          <w:rFonts w:ascii="Times New Roman" w:hAnsi="Times New Roman" w:cs="Times New Roman"/>
          <w:sz w:val="24"/>
          <w:szCs w:val="24"/>
        </w:rPr>
        <w:t xml:space="preserve">The nitrogen coverage phase diagram </w:t>
      </w:r>
      <w:r w:rsidR="006D0408" w:rsidRPr="006D0408">
        <w:rPr>
          <w:rFonts w:ascii="Cambria Math" w:hAnsi="Cambria Math" w:cs="Cambria Math"/>
          <w:sz w:val="24"/>
          <w:szCs w:val="24"/>
        </w:rPr>
        <w:t>⟨</w:t>
      </w:r>
      <w:proofErr w:type="spellStart"/>
      <w:r w:rsidR="006D0408" w:rsidRPr="006D0408">
        <w:rPr>
          <w:rFonts w:ascii="Times New Roman" w:hAnsi="Times New Roman" w:cs="Times New Roman"/>
          <w:sz w:val="24"/>
          <w:szCs w:val="24"/>
        </w:rPr>
        <w:t>θ</w:t>
      </w:r>
      <w:r w:rsidR="006D0408" w:rsidRPr="00BC3AF0">
        <w:rPr>
          <w:rFonts w:ascii="Times New Roman" w:hAnsi="Times New Roman" w:cs="Times New Roman"/>
          <w:sz w:val="24"/>
          <w:szCs w:val="24"/>
          <w:vertAlign w:val="subscript"/>
        </w:rPr>
        <w:t>N</w:t>
      </w:r>
      <w:proofErr w:type="spellEnd"/>
      <w:r w:rsidR="006D0408" w:rsidRPr="006D0408">
        <w:rPr>
          <w:rFonts w:ascii="Cambria Math" w:hAnsi="Cambria Math" w:cs="Cambria Math"/>
          <w:sz w:val="24"/>
          <w:szCs w:val="24"/>
        </w:rPr>
        <w:t>⟩</w:t>
      </w:r>
      <w:r w:rsidR="006D0408" w:rsidRPr="006D0408">
        <w:rPr>
          <w:rFonts w:ascii="Times New Roman" w:hAnsi="Times New Roman" w:cs="Times New Roman"/>
          <w:sz w:val="24"/>
          <w:szCs w:val="24"/>
        </w:rPr>
        <w:t xml:space="preserve"> shows a similar trend, with high nitrogen coverage at lower </w:t>
      </w:r>
      <w:proofErr w:type="spellStart"/>
      <w:r w:rsidR="006D0408" w:rsidRPr="006D0408">
        <w:rPr>
          <w:rFonts w:ascii="Times New Roman" w:hAnsi="Times New Roman" w:cs="Times New Roman"/>
          <w:sz w:val="24"/>
          <w:szCs w:val="24"/>
        </w:rPr>
        <w:t>μ</w:t>
      </w:r>
      <w:r w:rsidR="006D0408" w:rsidRPr="00BC3AF0">
        <w:rPr>
          <w:rFonts w:ascii="Times New Roman" w:hAnsi="Times New Roman" w:cs="Times New Roman"/>
          <w:sz w:val="24"/>
          <w:szCs w:val="24"/>
          <w:vertAlign w:val="subscript"/>
        </w:rPr>
        <w:t>H</w:t>
      </w:r>
      <w:proofErr w:type="spellEnd"/>
      <w:r w:rsidR="006D0408" w:rsidRPr="006D0408">
        <w:rPr>
          <w:rFonts w:ascii="Times New Roman" w:hAnsi="Times New Roman" w:cs="Times New Roman"/>
          <w:sz w:val="24"/>
          <w:szCs w:val="24"/>
        </w:rPr>
        <w:t xml:space="preserve">​ values and low temperatures. As </w:t>
      </w:r>
      <w:proofErr w:type="spellStart"/>
      <w:r w:rsidR="006D0408" w:rsidRPr="006D0408">
        <w:rPr>
          <w:rFonts w:ascii="Times New Roman" w:hAnsi="Times New Roman" w:cs="Times New Roman"/>
          <w:sz w:val="24"/>
          <w:szCs w:val="24"/>
        </w:rPr>
        <w:t>μ</w:t>
      </w:r>
      <w:r w:rsidR="006D0408" w:rsidRPr="00327361">
        <w:rPr>
          <w:rFonts w:ascii="Times New Roman" w:hAnsi="Times New Roman" w:cs="Times New Roman"/>
          <w:sz w:val="24"/>
          <w:szCs w:val="24"/>
          <w:vertAlign w:val="subscript"/>
        </w:rPr>
        <w:t>H</w:t>
      </w:r>
      <w:proofErr w:type="spellEnd"/>
      <w:r w:rsidR="006D0408" w:rsidRPr="006D0408">
        <w:rPr>
          <w:rFonts w:ascii="Times New Roman" w:hAnsi="Times New Roman" w:cs="Times New Roman"/>
          <w:sz w:val="24"/>
          <w:szCs w:val="24"/>
        </w:rPr>
        <w:t xml:space="preserve">​ increases, hydrogen begins to outcompete nitrogen, reducing nitrogen coverage on the lattice. At </w:t>
      </w:r>
      <w:proofErr w:type="spellStart"/>
      <w:r w:rsidR="006D0408" w:rsidRPr="006D0408">
        <w:rPr>
          <w:rFonts w:ascii="Times New Roman" w:hAnsi="Times New Roman" w:cs="Times New Roman"/>
          <w:sz w:val="24"/>
          <w:szCs w:val="24"/>
        </w:rPr>
        <w:t>μ</w:t>
      </w:r>
      <w:r w:rsidR="006D0408" w:rsidRPr="0016301E">
        <w:rPr>
          <w:rFonts w:ascii="Times New Roman" w:hAnsi="Times New Roman" w:cs="Times New Roman"/>
          <w:sz w:val="24"/>
          <w:szCs w:val="24"/>
          <w:vertAlign w:val="subscript"/>
        </w:rPr>
        <w:t>H</w:t>
      </w:r>
      <w:proofErr w:type="spellEnd"/>
      <w:r w:rsidR="007C7B56">
        <w:rPr>
          <w:rFonts w:ascii="Times New Roman" w:hAnsi="Times New Roman" w:cs="Times New Roman"/>
          <w:sz w:val="24"/>
          <w:szCs w:val="24"/>
          <w:vertAlign w:val="subscript"/>
        </w:rPr>
        <w:t xml:space="preserve"> </w:t>
      </w:r>
      <w:r w:rsidR="006D0408" w:rsidRPr="006D0408">
        <w:rPr>
          <w:rFonts w:ascii="Times New Roman" w:hAnsi="Times New Roman" w:cs="Times New Roman"/>
          <w:sz w:val="24"/>
          <w:szCs w:val="24"/>
        </w:rPr>
        <w:t>=</w:t>
      </w:r>
      <w:r w:rsidR="007C7B56">
        <w:rPr>
          <w:rFonts w:ascii="Times New Roman" w:hAnsi="Times New Roman" w:cs="Times New Roman"/>
          <w:sz w:val="24"/>
          <w:szCs w:val="24"/>
        </w:rPr>
        <w:t xml:space="preserve"> </w:t>
      </w:r>
      <w:r w:rsidR="006D0408" w:rsidRPr="006D0408">
        <w:rPr>
          <w:rFonts w:ascii="Times New Roman" w:hAnsi="Times New Roman" w:cs="Times New Roman"/>
          <w:sz w:val="24"/>
          <w:szCs w:val="24"/>
        </w:rPr>
        <w:t>−0.1 eV, the coverage values of hydrogen and nitrogen become nearly equal, leading to direct competition for lattice sites. This balance reflects the tendency of both gases to adsorb at similar levels when neither has a significant chemical potential advantage.</w:t>
      </w:r>
      <w:r w:rsidR="0061653E">
        <w:rPr>
          <w:rFonts w:ascii="Times New Roman" w:hAnsi="Times New Roman" w:cs="Times New Roman"/>
          <w:sz w:val="24"/>
          <w:szCs w:val="24"/>
        </w:rPr>
        <w:t xml:space="preserve"> </w:t>
      </w:r>
      <w:r w:rsidR="0052104B" w:rsidRPr="0052104B">
        <w:rPr>
          <w:rFonts w:ascii="Times New Roman" w:hAnsi="Times New Roman" w:cs="Times New Roman"/>
          <w:sz w:val="24"/>
          <w:szCs w:val="24"/>
        </w:rPr>
        <w:t xml:space="preserve">The combined coverage phase diagram </w:t>
      </w:r>
      <w:r w:rsidR="0052104B" w:rsidRPr="0052104B">
        <w:rPr>
          <w:rFonts w:ascii="Cambria Math" w:hAnsi="Cambria Math" w:cs="Cambria Math"/>
          <w:sz w:val="24"/>
          <w:szCs w:val="24"/>
        </w:rPr>
        <w:t>⟨</w:t>
      </w:r>
      <w:proofErr w:type="spellStart"/>
      <w:r w:rsidR="0052104B" w:rsidRPr="0052104B">
        <w:rPr>
          <w:rFonts w:ascii="Times New Roman" w:hAnsi="Times New Roman" w:cs="Times New Roman"/>
          <w:sz w:val="24"/>
          <w:szCs w:val="24"/>
        </w:rPr>
        <w:t>θ</w:t>
      </w:r>
      <w:r w:rsidR="0052104B" w:rsidRPr="0052104B">
        <w:rPr>
          <w:rFonts w:ascii="Times New Roman" w:hAnsi="Times New Roman" w:cs="Times New Roman"/>
          <w:sz w:val="24"/>
          <w:szCs w:val="24"/>
          <w:vertAlign w:val="subscript"/>
        </w:rPr>
        <w:t>H</w:t>
      </w:r>
      <w:r w:rsidR="0052104B" w:rsidRPr="0052104B">
        <w:rPr>
          <w:rFonts w:ascii="Times New Roman" w:hAnsi="Times New Roman" w:cs="Times New Roman"/>
          <w:sz w:val="24"/>
          <w:szCs w:val="24"/>
        </w:rPr>
        <w:t>+θ</w:t>
      </w:r>
      <w:r w:rsidR="0052104B" w:rsidRPr="0052104B">
        <w:rPr>
          <w:rFonts w:ascii="Times New Roman" w:hAnsi="Times New Roman" w:cs="Times New Roman"/>
          <w:sz w:val="24"/>
          <w:szCs w:val="24"/>
          <w:vertAlign w:val="subscript"/>
        </w:rPr>
        <w:t>N</w:t>
      </w:r>
      <w:proofErr w:type="spellEnd"/>
      <w:r w:rsidR="0052104B" w:rsidRPr="0052104B">
        <w:rPr>
          <w:rFonts w:ascii="Cambria Math" w:hAnsi="Cambria Math" w:cs="Cambria Math"/>
          <w:sz w:val="24"/>
          <w:szCs w:val="24"/>
        </w:rPr>
        <w:t>⟩</w:t>
      </w:r>
      <w:r w:rsidR="0052104B" w:rsidRPr="0052104B">
        <w:rPr>
          <w:rFonts w:ascii="Times New Roman" w:hAnsi="Times New Roman" w:cs="Times New Roman"/>
          <w:sz w:val="24"/>
          <w:szCs w:val="24"/>
        </w:rPr>
        <w:t xml:space="preserve"> reveals that the lattice is fully occupied across all </w:t>
      </w:r>
      <w:proofErr w:type="spellStart"/>
      <w:r w:rsidR="0052104B" w:rsidRPr="0052104B">
        <w:rPr>
          <w:rFonts w:ascii="Times New Roman" w:hAnsi="Times New Roman" w:cs="Times New Roman"/>
          <w:sz w:val="24"/>
          <w:szCs w:val="24"/>
        </w:rPr>
        <w:t>μ</w:t>
      </w:r>
      <w:r w:rsidR="0052104B" w:rsidRPr="0052104B">
        <w:rPr>
          <w:rFonts w:ascii="Times New Roman" w:hAnsi="Times New Roman" w:cs="Times New Roman"/>
          <w:sz w:val="24"/>
          <w:szCs w:val="24"/>
          <w:vertAlign w:val="subscript"/>
        </w:rPr>
        <w:t>H</w:t>
      </w:r>
      <w:proofErr w:type="spellEnd"/>
      <w:r w:rsidR="0052104B" w:rsidRPr="0052104B">
        <w:rPr>
          <w:rFonts w:ascii="Times New Roman" w:hAnsi="Times New Roman" w:cs="Times New Roman"/>
          <w:sz w:val="24"/>
          <w:szCs w:val="24"/>
        </w:rPr>
        <w:t>​ and T values. However, the lattice configurations in the bottom row show that hydrogen and nitrogen do not mix. Instead, they form distinct clusters, reflecting their immiscible behavior.</w:t>
      </w:r>
    </w:p>
    <w:p w14:paraId="14C57FB1" w14:textId="3A1FC0BD" w:rsidR="0052104B" w:rsidRPr="0052104B" w:rsidRDefault="0052104B" w:rsidP="001D16EC">
      <w:pPr>
        <w:spacing w:line="360" w:lineRule="auto"/>
        <w:ind w:firstLine="360"/>
        <w:jc w:val="both"/>
        <w:rPr>
          <w:rFonts w:ascii="Times New Roman" w:hAnsi="Times New Roman" w:cs="Times New Roman"/>
          <w:sz w:val="24"/>
          <w:szCs w:val="24"/>
        </w:rPr>
      </w:pPr>
      <w:r w:rsidRPr="0052104B">
        <w:rPr>
          <w:rFonts w:ascii="Times New Roman" w:hAnsi="Times New Roman" w:cs="Times New Roman"/>
          <w:sz w:val="24"/>
          <w:szCs w:val="24"/>
        </w:rPr>
        <w:t xml:space="preserve">In the lattice configurations, at </w:t>
      </w:r>
      <w:proofErr w:type="spellStart"/>
      <w:r w:rsidRPr="0052104B">
        <w:rPr>
          <w:rFonts w:ascii="Times New Roman" w:hAnsi="Times New Roman" w:cs="Times New Roman"/>
          <w:sz w:val="24"/>
          <w:szCs w:val="24"/>
        </w:rPr>
        <w:t>μ</w:t>
      </w:r>
      <w:r w:rsidRPr="0052104B">
        <w:rPr>
          <w:rFonts w:ascii="Times New Roman" w:hAnsi="Times New Roman" w:cs="Times New Roman"/>
          <w:sz w:val="24"/>
          <w:szCs w:val="24"/>
          <w:vertAlign w:val="subscript"/>
        </w:rPr>
        <w:t>H</w:t>
      </w:r>
      <w:proofErr w:type="spellEnd"/>
      <w:r w:rsidRPr="0052104B">
        <w:rPr>
          <w:rFonts w:ascii="Times New Roman" w:hAnsi="Times New Roman" w:cs="Times New Roman"/>
          <w:sz w:val="24"/>
          <w:szCs w:val="24"/>
        </w:rPr>
        <w:t xml:space="preserve">=−0.2 eV, nitrogen occupies most of the lattice, while hydrogen appears in isolated clusters. As </w:t>
      </w:r>
      <w:proofErr w:type="spellStart"/>
      <w:r w:rsidRPr="0052104B">
        <w:rPr>
          <w:rFonts w:ascii="Times New Roman" w:hAnsi="Times New Roman" w:cs="Times New Roman"/>
          <w:sz w:val="24"/>
          <w:szCs w:val="24"/>
        </w:rPr>
        <w:t>μ</w:t>
      </w:r>
      <w:r w:rsidRPr="0052104B">
        <w:rPr>
          <w:rFonts w:ascii="Times New Roman" w:hAnsi="Times New Roman" w:cs="Times New Roman"/>
          <w:sz w:val="24"/>
          <w:szCs w:val="24"/>
          <w:vertAlign w:val="subscript"/>
        </w:rPr>
        <w:t>H</w:t>
      </w:r>
      <w:proofErr w:type="spellEnd"/>
      <w:r w:rsidRPr="0052104B">
        <w:rPr>
          <w:rFonts w:ascii="Times New Roman" w:hAnsi="Times New Roman" w:cs="Times New Roman"/>
          <w:sz w:val="24"/>
          <w:szCs w:val="24"/>
        </w:rPr>
        <w:t xml:space="preserve"> increases to -0.1 eV, hydrogen coverage expands, leading to more clustering and a decrease in nitrogen coverage. By </w:t>
      </w:r>
      <w:proofErr w:type="spellStart"/>
      <w:r w:rsidRPr="0052104B">
        <w:rPr>
          <w:rFonts w:ascii="Times New Roman" w:hAnsi="Times New Roman" w:cs="Times New Roman"/>
          <w:sz w:val="24"/>
          <w:szCs w:val="24"/>
        </w:rPr>
        <w:t>μ</w:t>
      </w:r>
      <w:r w:rsidRPr="0052104B">
        <w:rPr>
          <w:rFonts w:ascii="Times New Roman" w:hAnsi="Times New Roman" w:cs="Times New Roman"/>
          <w:sz w:val="24"/>
          <w:szCs w:val="24"/>
          <w:vertAlign w:val="subscript"/>
        </w:rPr>
        <w:t>H</w:t>
      </w:r>
      <w:proofErr w:type="spellEnd"/>
      <w:r w:rsidRPr="0052104B">
        <w:rPr>
          <w:rFonts w:ascii="Times New Roman" w:hAnsi="Times New Roman" w:cs="Times New Roman"/>
          <w:sz w:val="24"/>
          <w:szCs w:val="24"/>
        </w:rPr>
        <w:t>=0 eV, hydrogen dominates the lattice</w:t>
      </w:r>
      <w:r w:rsidR="00744815">
        <w:rPr>
          <w:rFonts w:ascii="Times New Roman" w:hAnsi="Times New Roman" w:cs="Times New Roman" w:hint="eastAsia"/>
          <w:sz w:val="24"/>
          <w:szCs w:val="24"/>
        </w:rPr>
        <w:t xml:space="preserve"> (</w:t>
      </w:r>
      <w:r w:rsidR="00744815" w:rsidRPr="00AA51D1">
        <w:rPr>
          <w:rFonts w:ascii="Times New Roman" w:hAnsi="Times New Roman" w:cs="Times New Roman" w:hint="eastAsia"/>
          <w:b/>
          <w:bCs/>
          <w:sz w:val="24"/>
          <w:szCs w:val="24"/>
        </w:rPr>
        <w:t>Figure 4</w:t>
      </w:r>
      <w:r w:rsidR="003168B8">
        <w:rPr>
          <w:rFonts w:ascii="Times New Roman" w:hAnsi="Times New Roman" w:cs="Times New Roman" w:hint="eastAsia"/>
          <w:b/>
          <w:bCs/>
          <w:sz w:val="24"/>
          <w:szCs w:val="24"/>
        </w:rPr>
        <w:t>B</w:t>
      </w:r>
      <w:r w:rsidR="00744815">
        <w:rPr>
          <w:rFonts w:ascii="Times New Roman" w:hAnsi="Times New Roman" w:cs="Times New Roman" w:hint="eastAsia"/>
          <w:sz w:val="24"/>
          <w:szCs w:val="24"/>
        </w:rPr>
        <w:t>)</w:t>
      </w:r>
      <w:r w:rsidRPr="0052104B">
        <w:rPr>
          <w:rFonts w:ascii="Times New Roman" w:hAnsi="Times New Roman" w:cs="Times New Roman"/>
          <w:sz w:val="24"/>
          <w:szCs w:val="24"/>
        </w:rPr>
        <w:t>.</w:t>
      </w:r>
    </w:p>
    <w:p w14:paraId="77C062EB" w14:textId="77777777" w:rsidR="0052104B" w:rsidRPr="0052104B" w:rsidRDefault="0052104B" w:rsidP="001D16EC">
      <w:pPr>
        <w:spacing w:line="360" w:lineRule="auto"/>
        <w:ind w:firstLine="360"/>
        <w:jc w:val="both"/>
        <w:rPr>
          <w:rFonts w:ascii="Times New Roman" w:hAnsi="Times New Roman" w:cs="Times New Roman"/>
          <w:sz w:val="24"/>
          <w:szCs w:val="24"/>
        </w:rPr>
      </w:pPr>
      <w:r w:rsidRPr="0052104B">
        <w:rPr>
          <w:rFonts w:ascii="Times New Roman" w:hAnsi="Times New Roman" w:cs="Times New Roman"/>
          <w:sz w:val="24"/>
          <w:szCs w:val="24"/>
        </w:rPr>
        <w:t>These results highlight the immiscibility of hydrogen and nitrogen on the lattice. Each gas prefers to cluster with its own kind rather than mix. This behavior is driven by the repulsive interactions between hydrogen and nitrogen, causing them to form distinct domains even when both adsorb on the lattice.</w:t>
      </w:r>
    </w:p>
    <w:p w14:paraId="5245877F" w14:textId="230A1086" w:rsidR="00834461" w:rsidRPr="00834461" w:rsidRDefault="00834461" w:rsidP="001D16EC">
      <w:pPr>
        <w:spacing w:line="360" w:lineRule="auto"/>
        <w:ind w:firstLine="360"/>
        <w:jc w:val="both"/>
        <w:rPr>
          <w:rFonts w:ascii="Times New Roman" w:hAnsi="Times New Roman" w:cs="Times New Roman"/>
          <w:sz w:val="24"/>
          <w:szCs w:val="24"/>
        </w:rPr>
      </w:pPr>
    </w:p>
    <w:p w14:paraId="506C07A6" w14:textId="4B1C8192" w:rsidR="00834461" w:rsidRPr="00834461" w:rsidRDefault="00834461"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sz w:val="24"/>
          <w:szCs w:val="24"/>
        </w:rPr>
        <w:t xml:space="preserve"> </w:t>
      </w:r>
      <w:r w:rsidRPr="00834461">
        <w:rPr>
          <w:rFonts w:ascii="Times New Roman" w:hAnsi="Times New Roman" w:cs="Times New Roman"/>
          <w:b/>
          <w:bCs/>
          <w:sz w:val="24"/>
          <w:szCs w:val="24"/>
        </w:rPr>
        <w:t>Like Dissolves Unlike</w:t>
      </w:r>
      <w:r w:rsidR="00896C6B">
        <w:rPr>
          <w:rFonts w:ascii="Times New Roman" w:hAnsi="Times New Roman" w:cs="Times New Roman" w:hint="eastAsia"/>
          <w:b/>
          <w:bCs/>
          <w:sz w:val="24"/>
          <w:szCs w:val="24"/>
        </w:rPr>
        <w:t xml:space="preserve"> Scenario</w:t>
      </w:r>
    </w:p>
    <w:p w14:paraId="7E017638" w14:textId="09992C32" w:rsidR="00284537" w:rsidRDefault="00332B59" w:rsidP="001D16EC">
      <w:pPr>
        <w:spacing w:line="360" w:lineRule="auto"/>
        <w:ind w:firstLine="360"/>
        <w:jc w:val="both"/>
        <w:rPr>
          <w:rFonts w:ascii="Times New Roman" w:hAnsi="Times New Roman" w:cs="Times New Roman"/>
          <w:sz w:val="24"/>
          <w:szCs w:val="24"/>
        </w:rPr>
      </w:pPr>
      <w:r>
        <w:rPr>
          <w:noProof/>
        </w:rPr>
        <w:lastRenderedPageBreak/>
        <w:drawing>
          <wp:inline distT="0" distB="0" distL="0" distR="0" wp14:anchorId="40F93DF5" wp14:editId="268BC5BB">
            <wp:extent cx="5234152" cy="3620848"/>
            <wp:effectExtent l="0" t="0" r="5080" b="0"/>
            <wp:docPr id="195303521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1383" cy="3625850"/>
                    </a:xfrm>
                    <a:prstGeom prst="rect">
                      <a:avLst/>
                    </a:prstGeom>
                    <a:noFill/>
                    <a:ln>
                      <a:noFill/>
                    </a:ln>
                  </pic:spPr>
                </pic:pic>
              </a:graphicData>
            </a:graphic>
          </wp:inline>
        </w:drawing>
      </w:r>
    </w:p>
    <w:p w14:paraId="132008EC" w14:textId="6D77951A" w:rsidR="00801B42" w:rsidRPr="00801B42" w:rsidRDefault="00801B42" w:rsidP="00801B42">
      <w:pPr>
        <w:pStyle w:val="a4"/>
        <w:spacing w:line="360" w:lineRule="auto"/>
        <w:rPr>
          <w:rFonts w:eastAsiaTheme="minor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5</w:t>
      </w:r>
      <w:r>
        <w:rPr>
          <w:rFonts w:eastAsiaTheme="minorEastAsia" w:hint="eastAsia"/>
          <w:kern w:val="2"/>
          <w14:ligatures w14:val="standardContextual"/>
        </w:rPr>
        <w:t xml:space="preserve">. (A) Phase diagram and (B) lattice for </w:t>
      </w:r>
      <w:r>
        <w:rPr>
          <w:rFonts w:eastAsiaTheme="minorEastAsia"/>
          <w:kern w:val="2"/>
          <w14:ligatures w14:val="standardContextual"/>
        </w:rPr>
        <w:t>“</w:t>
      </w:r>
      <w:r>
        <w:rPr>
          <w:rFonts w:eastAsiaTheme="minorEastAsia" w:hint="eastAsia"/>
          <w:kern w:val="2"/>
          <w14:ligatures w14:val="standardContextual"/>
        </w:rPr>
        <w:t>Like Dissolves Unlike</w:t>
      </w:r>
      <w:r>
        <w:rPr>
          <w:rFonts w:eastAsiaTheme="minorEastAsia"/>
          <w:kern w:val="2"/>
          <w14:ligatures w14:val="standardContextual"/>
        </w:rPr>
        <w:t>”</w:t>
      </w:r>
      <w:r>
        <w:rPr>
          <w:rFonts w:eastAsiaTheme="minorEastAsia" w:hint="eastAsia"/>
          <w:kern w:val="2"/>
          <w14:ligatures w14:val="standardContextual"/>
        </w:rPr>
        <w:t xml:space="preserve"> case</w:t>
      </w:r>
      <w:r>
        <w:rPr>
          <w:rFonts w:eastAsiaTheme="minorEastAsia" w:hint="eastAsia"/>
          <w:kern w:val="2"/>
          <w14:ligatures w14:val="standardContextual"/>
        </w:rPr>
        <w:t>. The red circle denotes nitrogen and blue circle denotes hydrogen.</w:t>
      </w:r>
    </w:p>
    <w:p w14:paraId="51E5B91B" w14:textId="77777777" w:rsidR="008254D4" w:rsidRPr="0052104B" w:rsidRDefault="008254D4" w:rsidP="001D16EC">
      <w:pPr>
        <w:spacing w:line="360" w:lineRule="auto"/>
        <w:ind w:firstLine="360"/>
        <w:jc w:val="both"/>
        <w:rPr>
          <w:rFonts w:ascii="Times New Roman" w:hAnsi="Times New Roman" w:cs="Times New Roman"/>
          <w:sz w:val="24"/>
          <w:szCs w:val="24"/>
        </w:rPr>
      </w:pPr>
      <w:r w:rsidRPr="008254D4">
        <w:rPr>
          <w:rFonts w:ascii="Times New Roman" w:hAnsi="Times New Roman" w:cs="Times New Roman"/>
          <w:sz w:val="24"/>
          <w:szCs w:val="24"/>
        </w:rPr>
        <w:t xml:space="preserve">In the "like dissolves unlike" case, the results show distinct adsorption patterns for hydrogen and nitrogen with a tendency for each species to avoid clustering with itself. </w:t>
      </w:r>
      <w:r w:rsidRPr="0052104B">
        <w:rPr>
          <w:rFonts w:ascii="Times New Roman" w:hAnsi="Times New Roman" w:cs="Times New Roman"/>
          <w:sz w:val="24"/>
          <w:szCs w:val="24"/>
        </w:rPr>
        <w:t xml:space="preserve">The top row displays phase diagrams </w:t>
      </w:r>
      <w:r>
        <w:rPr>
          <w:rFonts w:ascii="Times New Roman" w:hAnsi="Times New Roman" w:cs="Times New Roman" w:hint="eastAsia"/>
          <w:sz w:val="24"/>
          <w:szCs w:val="24"/>
        </w:rPr>
        <w:t>and t</w:t>
      </w:r>
      <w:r w:rsidRPr="0052104B">
        <w:rPr>
          <w:rFonts w:ascii="Times New Roman" w:hAnsi="Times New Roman" w:cs="Times New Roman"/>
          <w:sz w:val="24"/>
          <w:szCs w:val="24"/>
        </w:rPr>
        <w:t xml:space="preserve">he bottom row presents the lattice configurations at specific values of </w:t>
      </w:r>
      <w:proofErr w:type="spellStart"/>
      <w:r w:rsidRPr="0052104B">
        <w:rPr>
          <w:rFonts w:ascii="Times New Roman" w:hAnsi="Times New Roman" w:cs="Times New Roman"/>
          <w:sz w:val="24"/>
          <w:szCs w:val="24"/>
        </w:rPr>
        <w:t>μ</w:t>
      </w:r>
      <w:r w:rsidRPr="0052104B">
        <w:rPr>
          <w:rFonts w:ascii="Times New Roman" w:hAnsi="Times New Roman" w:cs="Times New Roman"/>
          <w:sz w:val="24"/>
          <w:szCs w:val="24"/>
          <w:vertAlign w:val="subscript"/>
        </w:rPr>
        <w:t>H</w:t>
      </w:r>
      <w:proofErr w:type="spellEnd"/>
      <w:r>
        <w:rPr>
          <w:rFonts w:ascii="Times New Roman" w:hAnsi="Times New Roman" w:cs="Times New Roman" w:hint="eastAsia"/>
          <w:sz w:val="24"/>
          <w:szCs w:val="24"/>
        </w:rPr>
        <w:t xml:space="preserve"> </w:t>
      </w:r>
      <w:r w:rsidRPr="0052104B">
        <w:rPr>
          <w:rFonts w:ascii="Times New Roman" w:hAnsi="Times New Roman" w:cs="Times New Roman"/>
          <w:sz w:val="24"/>
          <w:szCs w:val="24"/>
        </w:rPr>
        <w:t>and T=116 K.</w:t>
      </w:r>
    </w:p>
    <w:p w14:paraId="79250986" w14:textId="64AA81BA" w:rsidR="008254D4" w:rsidRPr="008254D4" w:rsidRDefault="00D90608" w:rsidP="001D16EC">
      <w:pPr>
        <w:spacing w:line="360" w:lineRule="auto"/>
        <w:ind w:firstLine="360"/>
        <w:jc w:val="both"/>
        <w:rPr>
          <w:rFonts w:ascii="Times New Roman" w:hAnsi="Times New Roman" w:cs="Times New Roman"/>
          <w:sz w:val="24"/>
          <w:szCs w:val="24"/>
        </w:rPr>
      </w:pPr>
      <w:r>
        <w:rPr>
          <w:rFonts w:ascii="Times New Roman" w:hAnsi="Times New Roman" w:cs="Times New Roman" w:hint="eastAsia"/>
          <w:sz w:val="24"/>
          <w:szCs w:val="24"/>
        </w:rPr>
        <w:t>The hydrogen, nitrogen, and combined coverage diagrams are shown in</w:t>
      </w:r>
      <w:r w:rsidR="0003027C">
        <w:rPr>
          <w:rFonts w:ascii="Times New Roman" w:hAnsi="Times New Roman" w:cs="Times New Roman" w:hint="eastAsia"/>
          <w:sz w:val="24"/>
          <w:szCs w:val="24"/>
        </w:rPr>
        <w:t xml:space="preserve"> </w:t>
      </w:r>
      <w:r w:rsidR="0003027C" w:rsidRPr="0003027C">
        <w:rPr>
          <w:rFonts w:ascii="Times New Roman" w:hAnsi="Times New Roman" w:cs="Times New Roman" w:hint="eastAsia"/>
          <w:b/>
          <w:bCs/>
          <w:sz w:val="24"/>
          <w:szCs w:val="24"/>
        </w:rPr>
        <w:t>Figure 5A</w:t>
      </w:r>
      <w:r w:rsidR="0003027C">
        <w:rPr>
          <w:rFonts w:ascii="Times New Roman" w:hAnsi="Times New Roman" w:cs="Times New Roman" w:hint="eastAsia"/>
          <w:b/>
          <w:bCs/>
          <w:sz w:val="24"/>
          <w:szCs w:val="24"/>
        </w:rPr>
        <w:t>.</w:t>
      </w:r>
      <w:r w:rsidR="0003027C">
        <w:rPr>
          <w:rFonts w:ascii="Times New Roman" w:hAnsi="Times New Roman" w:cs="Times New Roman" w:hint="eastAsia"/>
          <w:sz w:val="24"/>
          <w:szCs w:val="24"/>
        </w:rPr>
        <w:t xml:space="preserve"> </w:t>
      </w:r>
      <w:r w:rsidR="008254D4" w:rsidRPr="008254D4">
        <w:rPr>
          <w:rFonts w:ascii="Times New Roman" w:hAnsi="Times New Roman" w:cs="Times New Roman"/>
          <w:sz w:val="24"/>
          <w:szCs w:val="24"/>
        </w:rPr>
        <w:t xml:space="preserve">In the hydrogen coverage phase diagram </w:t>
      </w:r>
      <w:r w:rsidR="008254D4" w:rsidRPr="008254D4">
        <w:rPr>
          <w:rFonts w:ascii="Cambria Math" w:hAnsi="Cambria Math" w:cs="Cambria Math"/>
          <w:sz w:val="24"/>
          <w:szCs w:val="24"/>
        </w:rPr>
        <w:t>⟨</w:t>
      </w:r>
      <w:proofErr w:type="spellStart"/>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H</w:t>
      </w:r>
      <w:proofErr w:type="spellEnd"/>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 xml:space="preserve">, hydrogen adsorption increases slightly as </w:t>
      </w:r>
      <w:proofErr w:type="spellStart"/>
      <w:r w:rsidR="008254D4" w:rsidRPr="008254D4">
        <w:rPr>
          <w:rFonts w:ascii="Times New Roman" w:hAnsi="Times New Roman" w:cs="Times New Roman"/>
          <w:sz w:val="24"/>
          <w:szCs w:val="24"/>
        </w:rPr>
        <w:t>μ</w:t>
      </w:r>
      <w:r w:rsidR="008254D4" w:rsidRPr="008254D4">
        <w:rPr>
          <w:rFonts w:ascii="Times New Roman" w:hAnsi="Times New Roman" w:cs="Times New Roman"/>
          <w:sz w:val="24"/>
          <w:szCs w:val="24"/>
          <w:vertAlign w:val="subscript"/>
        </w:rPr>
        <w:t>H</w:t>
      </w:r>
      <w:proofErr w:type="spellEnd"/>
      <w:r w:rsidR="008254D4" w:rsidRPr="008254D4">
        <w:rPr>
          <w:rFonts w:ascii="Times New Roman" w:hAnsi="Times New Roman" w:cs="Times New Roman"/>
          <w:sz w:val="24"/>
          <w:szCs w:val="24"/>
        </w:rPr>
        <w:t xml:space="preserve"> becomes more positive. This indicates that hydrogen coverage responds to favorable chemical potentials, but not to the extent seen in previous cases. The coverage remains relatively consistent, showing moderate adsorption levels at low </w:t>
      </w:r>
      <w:r w:rsidR="002F1F7A">
        <w:rPr>
          <w:rFonts w:ascii="Times New Roman" w:hAnsi="Times New Roman" w:cs="Times New Roman" w:hint="eastAsia"/>
          <w:sz w:val="24"/>
          <w:szCs w:val="24"/>
        </w:rPr>
        <w:t>temperature condition</w:t>
      </w:r>
      <w:r w:rsidR="008254D4" w:rsidRPr="008254D4">
        <w:rPr>
          <w:rFonts w:ascii="Times New Roman" w:hAnsi="Times New Roman" w:cs="Times New Roman"/>
          <w:sz w:val="24"/>
          <w:szCs w:val="24"/>
        </w:rPr>
        <w:t>.</w:t>
      </w:r>
      <w:r w:rsidR="00AB6D75">
        <w:rPr>
          <w:rFonts w:ascii="Times New Roman" w:hAnsi="Times New Roman" w:cs="Times New Roman" w:hint="eastAsia"/>
          <w:sz w:val="24"/>
          <w:szCs w:val="24"/>
        </w:rPr>
        <w:t xml:space="preserve"> </w:t>
      </w:r>
      <w:r w:rsidR="008254D4" w:rsidRPr="008254D4">
        <w:rPr>
          <w:rFonts w:ascii="Times New Roman" w:hAnsi="Times New Roman" w:cs="Times New Roman"/>
          <w:sz w:val="24"/>
          <w:szCs w:val="24"/>
        </w:rPr>
        <w:t xml:space="preserve">The nitrogen coverage phase diagram </w:t>
      </w:r>
      <w:r w:rsidR="008254D4" w:rsidRPr="008254D4">
        <w:rPr>
          <w:rFonts w:ascii="Cambria Math" w:hAnsi="Cambria Math" w:cs="Cambria Math"/>
          <w:sz w:val="24"/>
          <w:szCs w:val="24"/>
        </w:rPr>
        <w:t>⟨</w:t>
      </w:r>
      <w:proofErr w:type="spellStart"/>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N</w:t>
      </w:r>
      <w:proofErr w:type="spellEnd"/>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 xml:space="preserve"> shows a similar trend. Nitrogen adsorbs across the lattice and is only moderately affected by changes in </w:t>
      </w:r>
      <w:proofErr w:type="spellStart"/>
      <w:r w:rsidR="008254D4" w:rsidRPr="008254D4">
        <w:rPr>
          <w:rFonts w:ascii="Times New Roman" w:hAnsi="Times New Roman" w:cs="Times New Roman"/>
          <w:sz w:val="24"/>
          <w:szCs w:val="24"/>
        </w:rPr>
        <w:t>μ</w:t>
      </w:r>
      <w:r w:rsidR="008254D4" w:rsidRPr="008254D4">
        <w:rPr>
          <w:rFonts w:ascii="Times New Roman" w:hAnsi="Times New Roman" w:cs="Times New Roman"/>
          <w:sz w:val="24"/>
          <w:szCs w:val="24"/>
          <w:vertAlign w:val="subscript"/>
        </w:rPr>
        <w:t>H</w:t>
      </w:r>
      <w:proofErr w:type="spellEnd"/>
      <w:r w:rsidR="008254D4" w:rsidRPr="008254D4">
        <w:rPr>
          <w:rFonts w:ascii="Times New Roman" w:hAnsi="Times New Roman" w:cs="Times New Roman"/>
          <w:sz w:val="24"/>
          <w:szCs w:val="24"/>
        </w:rPr>
        <w:t>​. Both gases maintain a steady presence on the lattice as temperature remains low.</w:t>
      </w:r>
      <w:r w:rsidR="00E8153D">
        <w:rPr>
          <w:rFonts w:ascii="Times New Roman" w:hAnsi="Times New Roman" w:cs="Times New Roman" w:hint="eastAsia"/>
          <w:sz w:val="24"/>
          <w:szCs w:val="24"/>
        </w:rPr>
        <w:t xml:space="preserve"> </w:t>
      </w:r>
      <w:r w:rsidR="008254D4" w:rsidRPr="008254D4">
        <w:rPr>
          <w:rFonts w:ascii="Times New Roman" w:hAnsi="Times New Roman" w:cs="Times New Roman"/>
          <w:sz w:val="24"/>
          <w:szCs w:val="24"/>
        </w:rPr>
        <w:t xml:space="preserve">The combined coverage phase diagram </w:t>
      </w:r>
      <w:r w:rsidR="008254D4" w:rsidRPr="008254D4">
        <w:rPr>
          <w:rFonts w:ascii="Cambria Math" w:hAnsi="Cambria Math" w:cs="Cambria Math"/>
          <w:sz w:val="24"/>
          <w:szCs w:val="24"/>
        </w:rPr>
        <w:t>⟨</w:t>
      </w:r>
      <w:proofErr w:type="spellStart"/>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H</w:t>
      </w:r>
      <w:r w:rsidR="008254D4" w:rsidRPr="008254D4">
        <w:rPr>
          <w:rFonts w:ascii="Times New Roman" w:hAnsi="Times New Roman" w:cs="Times New Roman"/>
          <w:sz w:val="24"/>
          <w:szCs w:val="24"/>
        </w:rPr>
        <w:t>+θ</w:t>
      </w:r>
      <w:r w:rsidR="008254D4" w:rsidRPr="008254D4">
        <w:rPr>
          <w:rFonts w:ascii="Times New Roman" w:hAnsi="Times New Roman" w:cs="Times New Roman"/>
          <w:sz w:val="24"/>
          <w:szCs w:val="24"/>
          <w:vertAlign w:val="subscript"/>
        </w:rPr>
        <w:t>N</w:t>
      </w:r>
      <w:proofErr w:type="spellEnd"/>
      <w:r w:rsidR="008254D4" w:rsidRPr="008254D4">
        <w:rPr>
          <w:rFonts w:ascii="Cambria Math" w:hAnsi="Cambria Math" w:cs="Cambria Math"/>
          <w:sz w:val="24"/>
          <w:szCs w:val="24"/>
        </w:rPr>
        <w:t>⟩</w:t>
      </w:r>
      <w:r w:rsidR="008254D4" w:rsidRPr="008254D4">
        <w:rPr>
          <w:rFonts w:ascii="Times New Roman" w:hAnsi="Times New Roman" w:cs="Times New Roman"/>
          <w:sz w:val="24"/>
          <w:szCs w:val="24"/>
        </w:rPr>
        <w:t xml:space="preserve"> is nearly saturated across all </w:t>
      </w:r>
      <w:proofErr w:type="spellStart"/>
      <w:r w:rsidR="008254D4" w:rsidRPr="008254D4">
        <w:rPr>
          <w:rFonts w:ascii="Times New Roman" w:hAnsi="Times New Roman" w:cs="Times New Roman"/>
          <w:sz w:val="24"/>
          <w:szCs w:val="24"/>
        </w:rPr>
        <w:t>μ</w:t>
      </w:r>
      <w:r w:rsidR="008254D4" w:rsidRPr="008254D4">
        <w:rPr>
          <w:rFonts w:ascii="Times New Roman" w:hAnsi="Times New Roman" w:cs="Times New Roman"/>
          <w:sz w:val="24"/>
          <w:szCs w:val="24"/>
          <w:vertAlign w:val="subscript"/>
        </w:rPr>
        <w:t>H</w:t>
      </w:r>
      <w:proofErr w:type="spellEnd"/>
      <w:r w:rsidR="008254D4" w:rsidRPr="008254D4">
        <w:rPr>
          <w:rFonts w:ascii="Times New Roman" w:hAnsi="Times New Roman" w:cs="Times New Roman"/>
          <w:sz w:val="24"/>
          <w:szCs w:val="24"/>
        </w:rPr>
        <w:t xml:space="preserve">​ values at low temperatures, indicating that both gases are adsorbing to nearly fill the lattice. However, unlike in </w:t>
      </w:r>
      <w:r w:rsidR="008254D4" w:rsidRPr="008254D4">
        <w:rPr>
          <w:rFonts w:ascii="Times New Roman" w:hAnsi="Times New Roman" w:cs="Times New Roman"/>
          <w:sz w:val="24"/>
          <w:szCs w:val="24"/>
        </w:rPr>
        <w:lastRenderedPageBreak/>
        <w:t>previous cases, hydrogen and nitrogen do not cluster with themselves; instead, they mix more evenly, consistent with the "like dissolves unlike" interaction.</w:t>
      </w:r>
    </w:p>
    <w:p w14:paraId="1CEB63A0" w14:textId="2E967928" w:rsidR="008254D4" w:rsidRPr="008254D4" w:rsidRDefault="008254D4" w:rsidP="001D16EC">
      <w:pPr>
        <w:spacing w:line="360" w:lineRule="auto"/>
        <w:ind w:firstLine="360"/>
        <w:jc w:val="both"/>
        <w:rPr>
          <w:rFonts w:ascii="Times New Roman" w:hAnsi="Times New Roman" w:cs="Times New Roman"/>
          <w:sz w:val="24"/>
          <w:szCs w:val="24"/>
        </w:rPr>
      </w:pPr>
      <w:r w:rsidRPr="008254D4">
        <w:rPr>
          <w:rFonts w:ascii="Times New Roman" w:hAnsi="Times New Roman" w:cs="Times New Roman"/>
          <w:sz w:val="24"/>
          <w:szCs w:val="24"/>
        </w:rPr>
        <w:t>The lattice configurations reveal this behavior</w:t>
      </w:r>
      <w:r w:rsidR="005D4B94">
        <w:rPr>
          <w:rFonts w:ascii="Times New Roman" w:hAnsi="Times New Roman" w:cs="Times New Roman" w:hint="eastAsia"/>
          <w:sz w:val="24"/>
          <w:szCs w:val="24"/>
        </w:rPr>
        <w:t xml:space="preserve"> (</w:t>
      </w:r>
      <w:r w:rsidR="005D4B94" w:rsidRPr="005D4B94">
        <w:rPr>
          <w:rFonts w:ascii="Times New Roman" w:hAnsi="Times New Roman" w:cs="Times New Roman" w:hint="eastAsia"/>
          <w:b/>
          <w:bCs/>
          <w:sz w:val="24"/>
          <w:szCs w:val="24"/>
        </w:rPr>
        <w:t>Figure 5B</w:t>
      </w:r>
      <w:r w:rsidR="005D4B94">
        <w:rPr>
          <w:rFonts w:ascii="Times New Roman" w:hAnsi="Times New Roman" w:cs="Times New Roman" w:hint="eastAsia"/>
          <w:sz w:val="24"/>
          <w:szCs w:val="24"/>
        </w:rPr>
        <w:t>)</w:t>
      </w:r>
      <w:r w:rsidRPr="008254D4">
        <w:rPr>
          <w:rFonts w:ascii="Times New Roman" w:hAnsi="Times New Roman" w:cs="Times New Roman"/>
          <w:sz w:val="24"/>
          <w:szCs w:val="24"/>
        </w:rPr>
        <w:t xml:space="preserve">. At </w:t>
      </w:r>
      <w:proofErr w:type="spellStart"/>
      <w:r w:rsidRPr="008254D4">
        <w:rPr>
          <w:rFonts w:ascii="Times New Roman" w:hAnsi="Times New Roman" w:cs="Times New Roman"/>
          <w:sz w:val="24"/>
          <w:szCs w:val="24"/>
        </w:rPr>
        <w:t>μ</w:t>
      </w:r>
      <w:r w:rsidRPr="008254D4">
        <w:rPr>
          <w:rFonts w:ascii="Times New Roman" w:hAnsi="Times New Roman" w:cs="Times New Roman"/>
          <w:sz w:val="24"/>
          <w:szCs w:val="24"/>
          <w:vertAlign w:val="subscript"/>
        </w:rPr>
        <w:t>H</w:t>
      </w:r>
      <w:proofErr w:type="spellEnd"/>
      <w:r w:rsidRPr="008254D4">
        <w:rPr>
          <w:rFonts w:ascii="Times New Roman" w:hAnsi="Times New Roman" w:cs="Times New Roman"/>
          <w:sz w:val="24"/>
          <w:szCs w:val="24"/>
        </w:rPr>
        <w:t xml:space="preserve">=−0.2 eV, hydrogen and nitrogen are interspersed rather than forming clusters. This pattern suggests that each gas prefers to avoid neighboring atoms of the same type, resulting in a more mixed distribution. As </w:t>
      </w:r>
      <w:proofErr w:type="spellStart"/>
      <w:r w:rsidRPr="008254D4">
        <w:rPr>
          <w:rFonts w:ascii="Times New Roman" w:hAnsi="Times New Roman" w:cs="Times New Roman"/>
          <w:sz w:val="24"/>
          <w:szCs w:val="24"/>
        </w:rPr>
        <w:t>μ</w:t>
      </w:r>
      <w:r w:rsidRPr="008254D4">
        <w:rPr>
          <w:rFonts w:ascii="Times New Roman" w:hAnsi="Times New Roman" w:cs="Times New Roman"/>
          <w:sz w:val="24"/>
          <w:szCs w:val="24"/>
          <w:vertAlign w:val="subscript"/>
        </w:rPr>
        <w:t>H</w:t>
      </w:r>
      <w:proofErr w:type="spellEnd"/>
      <w:r w:rsidR="000C33C0">
        <w:rPr>
          <w:rFonts w:ascii="Times New Roman" w:hAnsi="Times New Roman" w:cs="Times New Roman" w:hint="eastAsia"/>
          <w:sz w:val="24"/>
          <w:szCs w:val="24"/>
          <w:vertAlign w:val="subscript"/>
        </w:rPr>
        <w:t xml:space="preserve"> </w:t>
      </w:r>
      <w:r w:rsidRPr="008254D4">
        <w:rPr>
          <w:rFonts w:ascii="Times New Roman" w:hAnsi="Times New Roman" w:cs="Times New Roman"/>
          <w:sz w:val="24"/>
          <w:szCs w:val="24"/>
        </w:rPr>
        <w:t xml:space="preserve">increases to -0.1 eV and 0 eV both gases </w:t>
      </w:r>
      <w:r w:rsidR="000F5B03" w:rsidRPr="008254D4">
        <w:rPr>
          <w:rFonts w:ascii="Times New Roman" w:hAnsi="Times New Roman" w:cs="Times New Roman"/>
          <w:sz w:val="24"/>
          <w:szCs w:val="24"/>
        </w:rPr>
        <w:t>maintain</w:t>
      </w:r>
      <w:r w:rsidRPr="008254D4">
        <w:rPr>
          <w:rFonts w:ascii="Times New Roman" w:hAnsi="Times New Roman" w:cs="Times New Roman"/>
          <w:sz w:val="24"/>
          <w:szCs w:val="24"/>
        </w:rPr>
        <w:t xml:space="preserve"> an even distribution across the lattice.</w:t>
      </w:r>
    </w:p>
    <w:p w14:paraId="0D59B40A" w14:textId="77777777" w:rsidR="008254D4" w:rsidRPr="008254D4" w:rsidRDefault="008254D4" w:rsidP="001D16EC">
      <w:pPr>
        <w:spacing w:line="360" w:lineRule="auto"/>
        <w:ind w:firstLine="360"/>
        <w:jc w:val="both"/>
        <w:rPr>
          <w:rFonts w:ascii="Times New Roman" w:hAnsi="Times New Roman" w:cs="Times New Roman"/>
          <w:sz w:val="24"/>
          <w:szCs w:val="24"/>
        </w:rPr>
      </w:pPr>
      <w:r w:rsidRPr="008254D4">
        <w:rPr>
          <w:rFonts w:ascii="Times New Roman" w:hAnsi="Times New Roman" w:cs="Times New Roman"/>
          <w:sz w:val="24"/>
          <w:szCs w:val="24"/>
        </w:rPr>
        <w:t>Overall, the "like dissolves unlike" interaction promotes a dispersed, mixed adsorption pattern for hydrogen and nitrogen. Both gases achieve high coverage but avoid clustering with their own kind, leading to a more homogeneous distribution across the lattice.</w:t>
      </w:r>
    </w:p>
    <w:p w14:paraId="1BE83CC4" w14:textId="4FEE454A" w:rsidR="00E964D6" w:rsidRPr="00834461" w:rsidRDefault="00503924" w:rsidP="001D16EC">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hint="eastAsia"/>
          <w:b/>
          <w:bCs/>
          <w:sz w:val="24"/>
          <w:szCs w:val="24"/>
        </w:rPr>
        <w:t xml:space="preserve"> </w:t>
      </w:r>
      <w:r w:rsidR="00E163F8">
        <w:rPr>
          <w:rFonts w:ascii="Times New Roman" w:hAnsi="Times New Roman" w:cs="Times New Roman" w:hint="eastAsia"/>
          <w:b/>
          <w:bCs/>
          <w:sz w:val="24"/>
          <w:szCs w:val="24"/>
        </w:rPr>
        <w:t>C</w:t>
      </w:r>
      <w:r w:rsidR="00E163F8" w:rsidRPr="00E163F8">
        <w:rPr>
          <w:rFonts w:ascii="Times New Roman" w:hAnsi="Times New Roman" w:cs="Times New Roman"/>
          <w:b/>
          <w:bCs/>
          <w:sz w:val="24"/>
          <w:szCs w:val="24"/>
        </w:rPr>
        <w:t>omparison Between Parameter Sets</w:t>
      </w:r>
    </w:p>
    <w:p w14:paraId="3F35DAAA" w14:textId="204A928A" w:rsidR="00697CA8" w:rsidRDefault="00B16BE7" w:rsidP="00AA0654">
      <w:pPr>
        <w:pStyle w:val="a4"/>
        <w:spacing w:line="360" w:lineRule="auto"/>
        <w:ind w:firstLine="360"/>
        <w:jc w:val="center"/>
        <w:rPr>
          <w:rFonts w:eastAsiaTheme="minorEastAsia"/>
        </w:rPr>
      </w:pPr>
      <w:r>
        <w:rPr>
          <w:noProof/>
        </w:rPr>
        <w:drawing>
          <wp:inline distT="0" distB="0" distL="0" distR="0" wp14:anchorId="4DAA1605" wp14:editId="26DE3E86">
            <wp:extent cx="5429250" cy="4188527"/>
            <wp:effectExtent l="0" t="0" r="0" b="2540"/>
            <wp:docPr id="143377384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2620" cy="4191127"/>
                    </a:xfrm>
                    <a:prstGeom prst="rect">
                      <a:avLst/>
                    </a:prstGeom>
                    <a:noFill/>
                    <a:ln>
                      <a:noFill/>
                    </a:ln>
                  </pic:spPr>
                </pic:pic>
              </a:graphicData>
            </a:graphic>
          </wp:inline>
        </w:drawing>
      </w:r>
    </w:p>
    <w:p w14:paraId="25259319" w14:textId="283C5AE8" w:rsidR="00BA5D65" w:rsidRPr="00BA5D65" w:rsidRDefault="00BA5D65" w:rsidP="00BA5D65">
      <w:pPr>
        <w:pStyle w:val="a4"/>
        <w:spacing w:line="360" w:lineRule="auto"/>
        <w:rPr>
          <w:rFonts w:eastAsiaTheme="minorEastAsia" w:hint="eastAsia"/>
          <w:kern w:val="2"/>
          <w14:ligatures w14:val="standardContextual"/>
        </w:rPr>
      </w:pPr>
      <w:r>
        <w:rPr>
          <w:rFonts w:eastAsiaTheme="minorEastAsia" w:hint="eastAsia"/>
          <w:b/>
          <w:bCs/>
          <w:kern w:val="2"/>
          <w14:ligatures w14:val="standardContextual"/>
        </w:rPr>
        <w:t>Figure</w:t>
      </w:r>
      <w:r w:rsidRPr="00CF6A51">
        <w:rPr>
          <w:rFonts w:eastAsiaTheme="minorEastAsia" w:hint="eastAsia"/>
          <w:b/>
          <w:bCs/>
          <w:kern w:val="2"/>
          <w14:ligatures w14:val="standardContextual"/>
        </w:rPr>
        <w:t xml:space="preserve"> </w:t>
      </w:r>
      <w:r>
        <w:rPr>
          <w:rFonts w:eastAsiaTheme="minorEastAsia" w:hint="eastAsia"/>
          <w:b/>
          <w:bCs/>
          <w:kern w:val="2"/>
          <w14:ligatures w14:val="standardContextual"/>
        </w:rPr>
        <w:t>6</w:t>
      </w:r>
      <w:r>
        <w:rPr>
          <w:rFonts w:eastAsiaTheme="minorEastAsia" w:hint="eastAsia"/>
          <w:kern w:val="2"/>
          <w14:ligatures w14:val="standardContextual"/>
        </w:rPr>
        <w:t>.</w:t>
      </w:r>
      <w:r>
        <w:rPr>
          <w:rFonts w:eastAsiaTheme="minorEastAsia" w:hint="eastAsia"/>
          <w:kern w:val="2"/>
          <w14:ligatures w14:val="standardContextual"/>
        </w:rPr>
        <w:t xml:space="preserve"> Occupation ratios </w:t>
      </w:r>
      <w:r w:rsidR="00BF5BF9">
        <w:rPr>
          <w:rFonts w:eastAsiaTheme="minorEastAsia"/>
          <w:kern w:val="2"/>
          <w14:ligatures w14:val="standardContextual"/>
        </w:rPr>
        <w:t>for (</w:t>
      </w:r>
      <w:r>
        <w:rPr>
          <w:rFonts w:eastAsiaTheme="minorEastAsia" w:hint="eastAsia"/>
          <w:kern w:val="2"/>
          <w14:ligatures w14:val="standardContextual"/>
        </w:rPr>
        <w:t xml:space="preserve">A) </w:t>
      </w:r>
      <w:r>
        <w:rPr>
          <w:rFonts w:eastAsiaTheme="minorEastAsia" w:hint="eastAsia"/>
          <w:kern w:val="2"/>
          <w14:ligatures w14:val="standardContextual"/>
        </w:rPr>
        <w:t>ideal mixture</w:t>
      </w:r>
      <w:r>
        <w:rPr>
          <w:rFonts w:eastAsiaTheme="minorEastAsia" w:hint="eastAsia"/>
          <w:kern w:val="2"/>
          <w14:ligatures w14:val="standardContextual"/>
        </w:rPr>
        <w:t xml:space="preserve"> (B) </w:t>
      </w:r>
      <w:r>
        <w:rPr>
          <w:rFonts w:eastAsiaTheme="minorEastAsia" w:hint="eastAsia"/>
          <w:kern w:val="2"/>
          <w14:ligatures w14:val="standardContextual"/>
        </w:rPr>
        <w:t>repulsive interaction (C) attractive interaction (D) immiscible case, and (E) like dissolves unlike case.</w:t>
      </w:r>
    </w:p>
    <w:p w14:paraId="485B1AAA" w14:textId="2317BE23" w:rsidR="004903FF" w:rsidRPr="004903FF" w:rsidRDefault="006E2C0A" w:rsidP="004903FF">
      <w:pPr>
        <w:pStyle w:val="a4"/>
        <w:spacing w:line="360" w:lineRule="auto"/>
        <w:ind w:firstLine="360"/>
        <w:jc w:val="both"/>
        <w:rPr>
          <w:rFonts w:eastAsiaTheme="minorEastAsia"/>
        </w:rPr>
      </w:pPr>
      <w:r w:rsidRPr="002868C5">
        <w:rPr>
          <w:rFonts w:eastAsiaTheme="minorEastAsia" w:hint="eastAsia"/>
          <w:b/>
          <w:bCs/>
        </w:rPr>
        <w:lastRenderedPageBreak/>
        <w:t>Figure 6</w:t>
      </w:r>
      <w:r>
        <w:rPr>
          <w:rFonts w:eastAsiaTheme="minorEastAsia" w:hint="eastAsia"/>
        </w:rPr>
        <w:t xml:space="preserve"> shows</w:t>
      </w:r>
      <w:r w:rsidR="003C65AC" w:rsidRPr="003C65AC">
        <w:t xml:space="preserve"> </w:t>
      </w:r>
      <w:r w:rsidR="001860EC">
        <w:rPr>
          <w:rFonts w:eastAsiaTheme="minorEastAsia" w:hint="eastAsia"/>
        </w:rPr>
        <w:t xml:space="preserve">the occupation ratios for each scenario and </w:t>
      </w:r>
      <w:r w:rsidR="003C65AC" w:rsidRPr="003C65AC">
        <w:t>how interaction energies shape the adsorption behavior of hydrogen and nitrogen on the surface, with each parameter set showing distinct coverage trends. In the Ideal Mixture case</w:t>
      </w:r>
      <w:r w:rsidR="00F24EDD">
        <w:rPr>
          <w:rFonts w:eastAsiaTheme="minorEastAsia" w:hint="eastAsia"/>
        </w:rPr>
        <w:t xml:space="preserve"> (</w:t>
      </w:r>
      <w:r w:rsidR="00F24EDD" w:rsidRPr="00F24EDD">
        <w:rPr>
          <w:rFonts w:eastAsiaTheme="minorEastAsia" w:hint="eastAsia"/>
          <w:b/>
          <w:bCs/>
        </w:rPr>
        <w:t>Figure 6A</w:t>
      </w:r>
      <w:r w:rsidR="00F24EDD">
        <w:rPr>
          <w:rFonts w:eastAsiaTheme="minorEastAsia" w:hint="eastAsia"/>
        </w:rPr>
        <w:t>)</w:t>
      </w:r>
      <w:r w:rsidR="003C65AC" w:rsidRPr="003C65AC">
        <w:t xml:space="preserve">, the graph shows that as </w:t>
      </w:r>
      <w:proofErr w:type="spellStart"/>
      <w:r w:rsidR="003C65AC" w:rsidRPr="003C65AC">
        <w:t>μ</w:t>
      </w:r>
      <w:r w:rsidR="003C65AC" w:rsidRPr="003C65AC">
        <w:rPr>
          <w:vertAlign w:val="subscript"/>
        </w:rPr>
        <w:t>H</w:t>
      </w:r>
      <w:proofErr w:type="spellEnd"/>
      <w:r w:rsidR="003C65AC" w:rsidRPr="003C65AC">
        <w:t xml:space="preserve"> increases from -0.2 to 0, hydrogen coverage rises sharply, eventually reaching nearly full coverage (~1.0)</w:t>
      </w:r>
      <w:r w:rsidR="00E50C10">
        <w:rPr>
          <w:rFonts w:eastAsiaTheme="minorEastAsia" w:hint="eastAsia"/>
        </w:rPr>
        <w:t xml:space="preserve">. However, the </w:t>
      </w:r>
      <w:r w:rsidR="003C65AC" w:rsidRPr="003C65AC">
        <w:t xml:space="preserve">nitrogen coverage declines to near zero. This pattern indicates independent adsorption behavior, with hydrogen fully occupying the surface at high </w:t>
      </w:r>
      <w:proofErr w:type="spellStart"/>
      <w:r w:rsidR="003C65AC" w:rsidRPr="003C65AC">
        <w:t>μ</w:t>
      </w:r>
      <w:r w:rsidR="003C65AC" w:rsidRPr="003C65AC">
        <w:rPr>
          <w:vertAlign w:val="subscript"/>
        </w:rPr>
        <w:t>H</w:t>
      </w:r>
      <w:proofErr w:type="spellEnd"/>
      <w:r w:rsidR="003C65AC" w:rsidRPr="003C65AC">
        <w:t xml:space="preserve"> values due to the absence of interaction energies affecting each gas's response.</w:t>
      </w:r>
      <w:r w:rsidR="00F24EDD">
        <w:rPr>
          <w:rFonts w:eastAsiaTheme="minorEastAsia" w:hint="eastAsia"/>
        </w:rPr>
        <w:t xml:space="preserve"> </w:t>
      </w:r>
      <w:r w:rsidR="003C65AC" w:rsidRPr="003C65AC">
        <w:t>In the Repulsive Interactions scenario</w:t>
      </w:r>
      <w:r w:rsidR="008F6C04">
        <w:rPr>
          <w:rFonts w:eastAsiaTheme="minorEastAsia" w:hint="eastAsia"/>
        </w:rPr>
        <w:t xml:space="preserve"> (</w:t>
      </w:r>
      <w:r w:rsidR="008F6C04" w:rsidRPr="008F6C04">
        <w:rPr>
          <w:rFonts w:eastAsiaTheme="minorEastAsia"/>
          <w:b/>
          <w:bCs/>
        </w:rPr>
        <w:t>Fig</w:t>
      </w:r>
      <w:r w:rsidR="008F6C04" w:rsidRPr="008F6C04">
        <w:rPr>
          <w:rFonts w:eastAsiaTheme="minorEastAsia" w:hint="eastAsia"/>
          <w:b/>
          <w:bCs/>
        </w:rPr>
        <w:t>ure 6B</w:t>
      </w:r>
      <w:r w:rsidR="008F6C04">
        <w:rPr>
          <w:rFonts w:eastAsiaTheme="minorEastAsia" w:hint="eastAsia"/>
        </w:rPr>
        <w:t>)</w:t>
      </w:r>
      <w:r w:rsidR="003C65AC" w:rsidRPr="003C65AC">
        <w:t xml:space="preserve">, hydrogen coverage increases more gradually, peaking at around 0.4, while nitrogen coverage declines steadily, maintaining a presence on the surface even as </w:t>
      </w:r>
      <w:proofErr w:type="spellStart"/>
      <w:r w:rsidR="003C65AC" w:rsidRPr="003C65AC">
        <w:t>μ</w:t>
      </w:r>
      <w:r w:rsidR="003C65AC" w:rsidRPr="003C65AC">
        <w:rPr>
          <w:vertAlign w:val="subscript"/>
        </w:rPr>
        <w:t>H</w:t>
      </w:r>
      <w:proofErr w:type="spellEnd"/>
      <w:r w:rsidR="003C65AC" w:rsidRPr="003C65AC">
        <w:t xml:space="preserve"> rises. This gradual change reflects the influence of repulsive forces, which limit hydrogen’s ability to fully dominate the surface, resulting in a lower total coverage compared to the Ideal Mixture case.</w:t>
      </w:r>
      <w:r w:rsidR="00C61CD1">
        <w:rPr>
          <w:rFonts w:eastAsiaTheme="minorEastAsia" w:hint="eastAsia"/>
        </w:rPr>
        <w:t xml:space="preserve"> </w:t>
      </w:r>
      <w:r w:rsidR="003C65AC" w:rsidRPr="003C65AC">
        <w:t>For Attractive Interactions</w:t>
      </w:r>
      <w:r w:rsidR="00C61CD1">
        <w:rPr>
          <w:rFonts w:eastAsiaTheme="minorEastAsia" w:hint="eastAsia"/>
          <w:b/>
          <w:bCs/>
        </w:rPr>
        <w:t xml:space="preserve"> (Figure 6C)</w:t>
      </w:r>
      <w:r w:rsidR="003C65AC" w:rsidRPr="003C65AC">
        <w:t xml:space="preserve">, the graph shows that hydrogen and nitrogen coverage levels converge around </w:t>
      </w:r>
      <w:proofErr w:type="spellStart"/>
      <w:r w:rsidR="003C65AC" w:rsidRPr="003C65AC">
        <w:t>μ</w:t>
      </w:r>
      <w:r w:rsidR="003C65AC" w:rsidRPr="003C65AC">
        <w:rPr>
          <w:vertAlign w:val="subscript"/>
        </w:rPr>
        <w:t>H</w:t>
      </w:r>
      <w:proofErr w:type="spellEnd"/>
      <w:r w:rsidR="003C65AC" w:rsidRPr="003C65AC">
        <w:t xml:space="preserve"> = -0.1, with each species stabilizing at roughly 0.5 coverage as </w:t>
      </w:r>
      <w:proofErr w:type="spellStart"/>
      <w:r w:rsidR="003C65AC" w:rsidRPr="003C65AC">
        <w:t>μ</w:t>
      </w:r>
      <w:r w:rsidR="003C65AC" w:rsidRPr="003C65AC">
        <w:rPr>
          <w:vertAlign w:val="subscript"/>
        </w:rPr>
        <w:t>H</w:t>
      </w:r>
      <w:proofErr w:type="spellEnd"/>
      <w:r w:rsidR="003C65AC" w:rsidRPr="003C65AC">
        <w:t xml:space="preserve"> increases. This behavior results from attractive forces between hydrogen and nitrogen, which stabilize their co-adsorption and prevent either gas from fully displacing the other, leading to a balanced total coverage close to 1.0.</w:t>
      </w:r>
      <w:r w:rsidR="0030106E">
        <w:rPr>
          <w:rFonts w:eastAsiaTheme="minorEastAsia" w:hint="eastAsia"/>
        </w:rPr>
        <w:t xml:space="preserve"> </w:t>
      </w:r>
      <w:r w:rsidR="003C65AC" w:rsidRPr="003C65AC">
        <w:t>The Immiscible case exhibits a clear phase separation</w:t>
      </w:r>
      <w:r w:rsidR="0030106E">
        <w:rPr>
          <w:rFonts w:eastAsiaTheme="minorEastAsia" w:hint="eastAsia"/>
        </w:rPr>
        <w:t xml:space="preserve"> (</w:t>
      </w:r>
      <w:r w:rsidR="0030106E" w:rsidRPr="0030106E">
        <w:rPr>
          <w:rFonts w:eastAsiaTheme="minorEastAsia" w:hint="eastAsia"/>
          <w:b/>
          <w:bCs/>
        </w:rPr>
        <w:t>Figure 6D</w:t>
      </w:r>
      <w:r w:rsidR="0030106E">
        <w:rPr>
          <w:rFonts w:eastAsiaTheme="minorEastAsia" w:hint="eastAsia"/>
        </w:rPr>
        <w:t>)</w:t>
      </w:r>
      <w:r w:rsidR="003C65AC" w:rsidRPr="003C65AC">
        <w:t xml:space="preserve">, as seen in the sharp transition in coverage. Hydrogen coverage rises rapidly to 1.0 as </w:t>
      </w:r>
      <w:proofErr w:type="spellStart"/>
      <w:r w:rsidR="003C65AC" w:rsidRPr="003C65AC">
        <w:t>μ</w:t>
      </w:r>
      <w:r w:rsidR="003C65AC" w:rsidRPr="003C65AC">
        <w:rPr>
          <w:vertAlign w:val="subscript"/>
        </w:rPr>
        <w:t>H</w:t>
      </w:r>
      <w:proofErr w:type="spellEnd"/>
      <w:r w:rsidR="003C65AC" w:rsidRPr="003C65AC">
        <w:t xml:space="preserve"> increases from -0.15, while nitrogen coverage drops to zero, indicating that one gas completely displaces the other on the surface at certain </w:t>
      </w:r>
      <w:proofErr w:type="spellStart"/>
      <w:r w:rsidR="003C65AC" w:rsidRPr="003C65AC">
        <w:t>μ</w:t>
      </w:r>
      <w:r w:rsidR="003C65AC" w:rsidRPr="003C65AC">
        <w:rPr>
          <w:vertAlign w:val="subscript"/>
        </w:rPr>
        <w:t>H</w:t>
      </w:r>
      <w:proofErr w:type="spellEnd"/>
      <w:r w:rsidR="003C65AC" w:rsidRPr="003C65AC">
        <w:t xml:space="preserve"> values. This behavior aligns with phase-separation principles, with strong immiscibility leading to full coverage by a single species depending on </w:t>
      </w:r>
      <w:proofErr w:type="spellStart"/>
      <w:r w:rsidR="003C65AC" w:rsidRPr="003C65AC">
        <w:t>μ</w:t>
      </w:r>
      <w:r w:rsidR="003C65AC" w:rsidRPr="003C65AC">
        <w:rPr>
          <w:vertAlign w:val="subscript"/>
        </w:rPr>
        <w:t>H</w:t>
      </w:r>
      <w:proofErr w:type="spellEnd"/>
      <w:r w:rsidR="003C65AC" w:rsidRPr="003C65AC">
        <w:t>.</w:t>
      </w:r>
      <w:r w:rsidR="002A5D23">
        <w:rPr>
          <w:rFonts w:eastAsiaTheme="minorEastAsia" w:hint="eastAsia"/>
        </w:rPr>
        <w:t xml:space="preserve"> </w:t>
      </w:r>
      <w:r w:rsidR="003C65AC" w:rsidRPr="003C65AC">
        <w:t>In the Like Dissolves Unlike scenario</w:t>
      </w:r>
      <w:r w:rsidR="007E66F4">
        <w:rPr>
          <w:rFonts w:eastAsiaTheme="minorEastAsia" w:hint="eastAsia"/>
        </w:rPr>
        <w:t xml:space="preserve"> (</w:t>
      </w:r>
      <w:r w:rsidR="007E66F4" w:rsidRPr="007E66F4">
        <w:rPr>
          <w:rFonts w:eastAsiaTheme="minorEastAsia" w:hint="eastAsia"/>
          <w:b/>
          <w:bCs/>
        </w:rPr>
        <w:t>Figure 6E</w:t>
      </w:r>
      <w:r w:rsidR="007E66F4">
        <w:rPr>
          <w:rFonts w:eastAsiaTheme="minorEastAsia" w:hint="eastAsia"/>
        </w:rPr>
        <w:t>)</w:t>
      </w:r>
      <w:r w:rsidR="003C65AC" w:rsidRPr="003C65AC">
        <w:t xml:space="preserve">, the graph shows that hydrogen and nitrogen maintain nearly equal coverage (~0.5 each) across the entire </w:t>
      </w:r>
      <w:proofErr w:type="spellStart"/>
      <w:r w:rsidR="003C65AC" w:rsidRPr="003C65AC">
        <w:t>μ</w:t>
      </w:r>
      <w:r w:rsidR="003C65AC" w:rsidRPr="003C65AC">
        <w:rPr>
          <w:vertAlign w:val="subscript"/>
        </w:rPr>
        <w:t>H</w:t>
      </w:r>
      <w:proofErr w:type="spellEnd"/>
      <w:r w:rsidR="003C65AC" w:rsidRPr="003C65AC">
        <w:t xml:space="preserve"> range. This stable coexistence reflects similar affinities for the surface, creating a balanced adsorption environment that promotes consistent co-coverage. The total coverage remains around 1.0, indicating that both gases share the surface without significant displacement.</w:t>
      </w:r>
    </w:p>
    <w:p w14:paraId="52CF1ECF" w14:textId="36DD859A" w:rsidR="004903FF" w:rsidRPr="00834461" w:rsidRDefault="004903FF" w:rsidP="004903FF">
      <w:pPr>
        <w:pStyle w:val="a3"/>
        <w:numPr>
          <w:ilvl w:val="1"/>
          <w:numId w:val="15"/>
        </w:numPr>
        <w:spacing w:line="360" w:lineRule="auto"/>
        <w:ind w:leftChars="0"/>
        <w:rPr>
          <w:rFonts w:ascii="Times New Roman" w:hAnsi="Times New Roman" w:cs="Times New Roman"/>
          <w:b/>
          <w:bCs/>
          <w:sz w:val="24"/>
          <w:szCs w:val="24"/>
        </w:rPr>
      </w:pPr>
      <w:r>
        <w:rPr>
          <w:rFonts w:ascii="Times New Roman" w:hAnsi="Times New Roman" w:cs="Times New Roman" w:hint="eastAsia"/>
          <w:b/>
          <w:bCs/>
          <w:sz w:val="24"/>
          <w:szCs w:val="24"/>
        </w:rPr>
        <w:t xml:space="preserve"> </w:t>
      </w:r>
      <w:r w:rsidRPr="00282DA6">
        <w:rPr>
          <w:rFonts w:ascii="Times New Roman" w:hAnsi="Times New Roman" w:cs="Times New Roman"/>
          <w:b/>
          <w:bCs/>
          <w:sz w:val="24"/>
          <w:szCs w:val="24"/>
        </w:rPr>
        <w:t>Implications for Ammonia Synthesis</w:t>
      </w:r>
    </w:p>
    <w:p w14:paraId="0EBD023C" w14:textId="55AC0F2E" w:rsidR="00BD31D3" w:rsidRPr="00185E22" w:rsidRDefault="00BD31D3" w:rsidP="008A6D8D">
      <w:pPr>
        <w:pStyle w:val="a4"/>
        <w:spacing w:line="360" w:lineRule="auto"/>
        <w:ind w:firstLine="360"/>
        <w:jc w:val="both"/>
        <w:rPr>
          <w:rFonts w:eastAsiaTheme="minorEastAsia"/>
        </w:rPr>
      </w:pPr>
      <w:r w:rsidRPr="00185E22">
        <w:t xml:space="preserve">The results offer valuable insights for optimizing ammonia synthesis, particularly for the Haber-Bosch process, where efficient adsorption of nitrogen and hydrogen on catalyst surfaces is crucial. The </w:t>
      </w:r>
      <w:r w:rsidRPr="00185E22">
        <w:rPr>
          <w:rStyle w:val="a7"/>
          <w:b w:val="0"/>
          <w:bCs w:val="0"/>
        </w:rPr>
        <w:t>Ideal Mixture</w:t>
      </w:r>
      <w:r w:rsidRPr="00185E22">
        <w:t xml:space="preserve"> scenario shows that excessive hydrogen adsorption at high </w:t>
      </w:r>
      <w:proofErr w:type="spellStart"/>
      <w:r w:rsidRPr="00185E22">
        <w:t>μ</w:t>
      </w:r>
      <w:r w:rsidRPr="00185E22">
        <w:rPr>
          <w:vertAlign w:val="subscript"/>
        </w:rPr>
        <w:t>H</w:t>
      </w:r>
      <w:proofErr w:type="spellEnd"/>
      <w:r w:rsidRPr="00185E22">
        <w:t xml:space="preserve"> can hinder </w:t>
      </w:r>
      <w:r w:rsidRPr="00185E22">
        <w:lastRenderedPageBreak/>
        <w:t xml:space="preserve">nitrogen’s access to the surface, potentially slowing the reaction. In contrast, </w:t>
      </w:r>
      <w:r w:rsidRPr="00185E22">
        <w:rPr>
          <w:rStyle w:val="a7"/>
          <w:b w:val="0"/>
          <w:bCs w:val="0"/>
        </w:rPr>
        <w:t>Repulsive Interactions</w:t>
      </w:r>
      <w:r w:rsidRPr="00185E22">
        <w:t xml:space="preserve"> help limit hydrogen coverage, preventing hydrogen poisoning and maintaining available sites for nitrogen. The </w:t>
      </w:r>
      <w:r w:rsidRPr="00185E22">
        <w:rPr>
          <w:rStyle w:val="a7"/>
          <w:b w:val="0"/>
          <w:bCs w:val="0"/>
        </w:rPr>
        <w:t>Attractive Interactions</w:t>
      </w:r>
      <w:r w:rsidRPr="00185E22">
        <w:t xml:space="preserve"> case, where hydrogen and nitrogen co-adsorb at balanced levels, represents an ideal condition for ammonia synthesis, ensuring both gases are available on the catalyst surface in sufficient quantities for efficient reaction rates. The </w:t>
      </w:r>
      <w:r w:rsidRPr="00185E22">
        <w:rPr>
          <w:rStyle w:val="a7"/>
          <w:b w:val="0"/>
          <w:bCs w:val="0"/>
        </w:rPr>
        <w:t>Immiscible</w:t>
      </w:r>
      <w:r w:rsidRPr="00185E22">
        <w:t xml:space="preserve"> scenario, with phase separation and complete displacement of nitrogen by hydrogen, would be detrimental, leading to a shortage of nitrogen on the surface. Finally, </w:t>
      </w:r>
      <w:r w:rsidRPr="00F67E1C">
        <w:t>the</w:t>
      </w:r>
      <w:r w:rsidRPr="00185E22">
        <w:rPr>
          <w:b/>
          <w:bCs/>
        </w:rPr>
        <w:t xml:space="preserve"> </w:t>
      </w:r>
      <w:r w:rsidRPr="00185E22">
        <w:rPr>
          <w:rStyle w:val="a7"/>
          <w:b w:val="0"/>
          <w:bCs w:val="0"/>
        </w:rPr>
        <w:t>Like Dissolves Unlike</w:t>
      </w:r>
      <w:r w:rsidRPr="00185E22">
        <w:t xml:space="preserve"> case, where both gases maintain stable, equal coverage, provides another optimal condition by supporting steady reaction rates and consistent catalyst utilization.</w:t>
      </w:r>
    </w:p>
    <w:p w14:paraId="2C5D0136" w14:textId="09655DC6" w:rsidR="00282DA6" w:rsidRPr="003C0823" w:rsidRDefault="00C8275B" w:rsidP="003C0823">
      <w:pPr>
        <w:pStyle w:val="a4"/>
        <w:spacing w:line="360" w:lineRule="auto"/>
        <w:ind w:firstLine="360"/>
        <w:jc w:val="both"/>
        <w:rPr>
          <w:rFonts w:eastAsiaTheme="minorEastAsia"/>
        </w:rPr>
      </w:pPr>
      <w:r w:rsidRPr="00C8275B">
        <w:t>To enhance ammonia synthesis, several optimization strategies can be applied. Controlled hydrogen coverage can prevent hydrogen from dominating adsorption sites. This could be achieved by modifying the catalyst surface to limit hydrogen adsorption and favor nitrogen. Promoters for balanced co-adsorption can improve reaction efficiency. These promoters, inspired by the Attractive Interactions scenario, enhance the affinity between nitrogen and hydrogen on the surface. Minimizing phase separation effects can be achieved by adjusting catalyst properties. This adjustment ensures that both gases remain accessible without one displacing the other. Finally, modifying the catalyst surface for stable coexistence can ensure balanced adsorption of both gases. This can be achieved through alloying or specific surface treatments, as shown in the Like Dissolves Unlike scenario.</w:t>
      </w:r>
      <w:r w:rsidR="00B72ACE">
        <w:rPr>
          <w:rFonts w:eastAsiaTheme="minorEastAsia" w:hint="eastAsia"/>
        </w:rPr>
        <w:t xml:space="preserve"> </w:t>
      </w:r>
      <w:r w:rsidR="00BD31D3">
        <w:t>These strategies provide actionable insights for enhancing ammonia production efficiency in industrial settings, potentially maximizing yield and reducing energy consumption in the Haber-Bosch process.</w:t>
      </w:r>
    </w:p>
    <w:p w14:paraId="07043E47" w14:textId="359841A1" w:rsidR="00282DA6" w:rsidRPr="00937F2F" w:rsidRDefault="00282DA6" w:rsidP="00937F2F">
      <w:pPr>
        <w:pStyle w:val="a3"/>
        <w:numPr>
          <w:ilvl w:val="0"/>
          <w:numId w:val="15"/>
        </w:numPr>
        <w:spacing w:line="360" w:lineRule="auto"/>
        <w:ind w:leftChars="0"/>
        <w:rPr>
          <w:rFonts w:ascii="Times New Roman" w:hAnsi="Times New Roman" w:cs="Times New Roman"/>
          <w:b/>
          <w:bCs/>
          <w:sz w:val="24"/>
          <w:szCs w:val="24"/>
        </w:rPr>
      </w:pPr>
      <w:r w:rsidRPr="00937F2F">
        <w:rPr>
          <w:rFonts w:ascii="Times New Roman" w:hAnsi="Times New Roman" w:cs="Times New Roman"/>
          <w:b/>
          <w:bCs/>
          <w:sz w:val="24"/>
          <w:szCs w:val="24"/>
        </w:rPr>
        <w:t>Conclusion</w:t>
      </w:r>
    </w:p>
    <w:p w14:paraId="416A529E" w14:textId="77777777" w:rsidR="008277C3" w:rsidRPr="008277C3" w:rsidRDefault="008277C3" w:rsidP="008277C3">
      <w:pPr>
        <w:spacing w:line="360" w:lineRule="auto"/>
        <w:ind w:firstLine="720"/>
        <w:jc w:val="both"/>
        <w:rPr>
          <w:rFonts w:ascii="Times New Roman" w:hAnsi="Times New Roman" w:cs="Times New Roman"/>
          <w:sz w:val="24"/>
          <w:szCs w:val="24"/>
        </w:rPr>
      </w:pPr>
      <w:r w:rsidRPr="008277C3">
        <w:rPr>
          <w:rFonts w:ascii="Times New Roman" w:hAnsi="Times New Roman" w:cs="Times New Roman"/>
          <w:sz w:val="24"/>
          <w:szCs w:val="24"/>
        </w:rPr>
        <w:t>In conclusion, the adsorption behaviors observed across different interaction scenarios provide critical insights for optimizing ammonia synthesis. The Ideal Mixture and Immiscible scenarios highlight the risks of unbalanced adsorption, where excessive hydrogen coverage or phase separation can hinder nitrogen availability on the catalyst surface. In contrast, the Attractive Interactions and Like Dissolves Unlike scenarios reveal conditions where both gases achieve stable co-adsorption, supporting efficient reaction rates essential for the Haber-Bosch process.</w:t>
      </w:r>
    </w:p>
    <w:p w14:paraId="26F045C6" w14:textId="77777777" w:rsidR="008277C3" w:rsidRPr="008277C3" w:rsidRDefault="008277C3" w:rsidP="00576336">
      <w:pPr>
        <w:spacing w:line="360" w:lineRule="auto"/>
        <w:ind w:firstLine="720"/>
        <w:jc w:val="both"/>
        <w:rPr>
          <w:rFonts w:ascii="Times New Roman" w:hAnsi="Times New Roman" w:cs="Times New Roman"/>
          <w:sz w:val="24"/>
          <w:szCs w:val="24"/>
        </w:rPr>
      </w:pPr>
      <w:r w:rsidRPr="008277C3">
        <w:rPr>
          <w:rFonts w:ascii="Times New Roman" w:hAnsi="Times New Roman" w:cs="Times New Roman"/>
          <w:sz w:val="24"/>
          <w:szCs w:val="24"/>
        </w:rPr>
        <w:lastRenderedPageBreak/>
        <w:t>To leverage these findings, practical optimization strategies include controlling hydrogen coverage, promoting balanced co-adsorption, minimizing phase separation, and ensuring stable coexistence through surface modifications or alloying. These approaches could enhance catalyst efficiency, sustain balanced adsorption, and ultimately improve ammonia production rates. Implementing these strategies in industrial settings offers a pathway to maximizing yield and energy efficiency in ammonia synthesis.</w:t>
      </w:r>
    </w:p>
    <w:p w14:paraId="0AA3FD10" w14:textId="6D10CAC4" w:rsidR="00474CB0" w:rsidRPr="00474CB0" w:rsidRDefault="00474CB0" w:rsidP="001D16EC">
      <w:pPr>
        <w:spacing w:line="360" w:lineRule="auto"/>
        <w:jc w:val="both"/>
      </w:pPr>
    </w:p>
    <w:p w14:paraId="106BC06A" w14:textId="77777777" w:rsidR="001A2A46" w:rsidRPr="00474CB0" w:rsidRDefault="001A2A46" w:rsidP="001D16EC">
      <w:pPr>
        <w:spacing w:line="360" w:lineRule="auto"/>
        <w:jc w:val="both"/>
      </w:pPr>
    </w:p>
    <w:sectPr w:rsidR="001A2A46" w:rsidRPr="00474CB0">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20422" w14:textId="77777777" w:rsidR="004903B4" w:rsidRDefault="004903B4" w:rsidP="007305E4">
      <w:pPr>
        <w:spacing w:after="0" w:line="240" w:lineRule="auto"/>
      </w:pPr>
      <w:r>
        <w:separator/>
      </w:r>
    </w:p>
  </w:endnote>
  <w:endnote w:type="continuationSeparator" w:id="0">
    <w:p w14:paraId="18BA43E4" w14:textId="77777777" w:rsidR="004903B4" w:rsidRDefault="004903B4" w:rsidP="0073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1ECDC" w14:textId="77777777" w:rsidR="004903B4" w:rsidRDefault="004903B4" w:rsidP="007305E4">
      <w:pPr>
        <w:spacing w:after="0" w:line="240" w:lineRule="auto"/>
      </w:pPr>
      <w:r>
        <w:separator/>
      </w:r>
    </w:p>
  </w:footnote>
  <w:footnote w:type="continuationSeparator" w:id="0">
    <w:p w14:paraId="0BD3D073" w14:textId="77777777" w:rsidR="004903B4" w:rsidRDefault="004903B4" w:rsidP="00730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C27"/>
    <w:multiLevelType w:val="multilevel"/>
    <w:tmpl w:val="CF9E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F7344"/>
    <w:multiLevelType w:val="multilevel"/>
    <w:tmpl w:val="96F6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21CC"/>
    <w:multiLevelType w:val="multilevel"/>
    <w:tmpl w:val="B136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F7FF7"/>
    <w:multiLevelType w:val="multilevel"/>
    <w:tmpl w:val="F2FC6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845AF"/>
    <w:multiLevelType w:val="hybridMultilevel"/>
    <w:tmpl w:val="6846A862"/>
    <w:lvl w:ilvl="0" w:tplc="78AA8248">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5" w15:restartNumberingAfterBreak="0">
    <w:nsid w:val="1743239A"/>
    <w:multiLevelType w:val="multilevel"/>
    <w:tmpl w:val="2832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61370"/>
    <w:multiLevelType w:val="multilevel"/>
    <w:tmpl w:val="C162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A049A"/>
    <w:multiLevelType w:val="multilevel"/>
    <w:tmpl w:val="742C3698"/>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B5D5C24"/>
    <w:multiLevelType w:val="multilevel"/>
    <w:tmpl w:val="3108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B354A3"/>
    <w:multiLevelType w:val="multilevel"/>
    <w:tmpl w:val="65A8491A"/>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2CD3237"/>
    <w:multiLevelType w:val="multilevel"/>
    <w:tmpl w:val="554C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20051"/>
    <w:multiLevelType w:val="multilevel"/>
    <w:tmpl w:val="9540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3942C3"/>
    <w:multiLevelType w:val="multilevel"/>
    <w:tmpl w:val="0D5CD8A6"/>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607814E9"/>
    <w:multiLevelType w:val="multilevel"/>
    <w:tmpl w:val="B2D4E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D1771D"/>
    <w:multiLevelType w:val="multilevel"/>
    <w:tmpl w:val="AC1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870F68"/>
    <w:multiLevelType w:val="multilevel"/>
    <w:tmpl w:val="61BE43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6F8508D9"/>
    <w:multiLevelType w:val="multilevel"/>
    <w:tmpl w:val="17D0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921655"/>
    <w:multiLevelType w:val="multilevel"/>
    <w:tmpl w:val="E510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6F3A67"/>
    <w:multiLevelType w:val="multilevel"/>
    <w:tmpl w:val="86D8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775836">
    <w:abstractNumId w:val="16"/>
  </w:num>
  <w:num w:numId="2" w16cid:durableId="407845464">
    <w:abstractNumId w:val="11"/>
  </w:num>
  <w:num w:numId="3" w16cid:durableId="252864585">
    <w:abstractNumId w:val="3"/>
  </w:num>
  <w:num w:numId="4" w16cid:durableId="861240638">
    <w:abstractNumId w:val="17"/>
  </w:num>
  <w:num w:numId="5" w16cid:durableId="1078403074">
    <w:abstractNumId w:val="2"/>
  </w:num>
  <w:num w:numId="6" w16cid:durableId="1826583393">
    <w:abstractNumId w:val="8"/>
  </w:num>
  <w:num w:numId="7" w16cid:durableId="1447037682">
    <w:abstractNumId w:val="5"/>
  </w:num>
  <w:num w:numId="8" w16cid:durableId="32119896">
    <w:abstractNumId w:val="1"/>
  </w:num>
  <w:num w:numId="9" w16cid:durableId="449858643">
    <w:abstractNumId w:val="6"/>
  </w:num>
  <w:num w:numId="10" w16cid:durableId="1603149154">
    <w:abstractNumId w:val="13"/>
  </w:num>
  <w:num w:numId="11" w16cid:durableId="1157646892">
    <w:abstractNumId w:val="14"/>
  </w:num>
  <w:num w:numId="12" w16cid:durableId="1353528743">
    <w:abstractNumId w:val="10"/>
  </w:num>
  <w:num w:numId="13" w16cid:durableId="943225895">
    <w:abstractNumId w:val="0"/>
  </w:num>
  <w:num w:numId="14" w16cid:durableId="1771269171">
    <w:abstractNumId w:val="4"/>
  </w:num>
  <w:num w:numId="15" w16cid:durableId="1114860960">
    <w:abstractNumId w:val="15"/>
  </w:num>
  <w:num w:numId="16" w16cid:durableId="1817333120">
    <w:abstractNumId w:val="18"/>
  </w:num>
  <w:num w:numId="17" w16cid:durableId="2003463290">
    <w:abstractNumId w:val="9"/>
  </w:num>
  <w:num w:numId="18" w16cid:durableId="2003308925">
    <w:abstractNumId w:val="7"/>
  </w:num>
  <w:num w:numId="19" w16cid:durableId="17546187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6"/>
    <w:rsid w:val="00016DD7"/>
    <w:rsid w:val="00022920"/>
    <w:rsid w:val="0003027C"/>
    <w:rsid w:val="000438C7"/>
    <w:rsid w:val="000746ED"/>
    <w:rsid w:val="0008439B"/>
    <w:rsid w:val="00086E79"/>
    <w:rsid w:val="000874DA"/>
    <w:rsid w:val="000C2321"/>
    <w:rsid w:val="000C33C0"/>
    <w:rsid w:val="000C567E"/>
    <w:rsid w:val="000E59DA"/>
    <w:rsid w:val="000E6DA8"/>
    <w:rsid w:val="000E7067"/>
    <w:rsid w:val="000F5B03"/>
    <w:rsid w:val="000F79C6"/>
    <w:rsid w:val="00106143"/>
    <w:rsid w:val="001066BF"/>
    <w:rsid w:val="00117F52"/>
    <w:rsid w:val="00131B6D"/>
    <w:rsid w:val="00142B45"/>
    <w:rsid w:val="0016301E"/>
    <w:rsid w:val="00172724"/>
    <w:rsid w:val="001813B9"/>
    <w:rsid w:val="00182C96"/>
    <w:rsid w:val="00185E22"/>
    <w:rsid w:val="001860EC"/>
    <w:rsid w:val="001A0328"/>
    <w:rsid w:val="001A2A46"/>
    <w:rsid w:val="001A7EB3"/>
    <w:rsid w:val="001B1790"/>
    <w:rsid w:val="001D16EC"/>
    <w:rsid w:val="001D3C8F"/>
    <w:rsid w:val="001D3D75"/>
    <w:rsid w:val="001F35B5"/>
    <w:rsid w:val="002018CC"/>
    <w:rsid w:val="002108D0"/>
    <w:rsid w:val="002121D2"/>
    <w:rsid w:val="00220DAE"/>
    <w:rsid w:val="0022416F"/>
    <w:rsid w:val="002376E7"/>
    <w:rsid w:val="00254BA8"/>
    <w:rsid w:val="002628CC"/>
    <w:rsid w:val="00265A95"/>
    <w:rsid w:val="00280983"/>
    <w:rsid w:val="002819C7"/>
    <w:rsid w:val="00282DA6"/>
    <w:rsid w:val="00284537"/>
    <w:rsid w:val="002868C5"/>
    <w:rsid w:val="0029026A"/>
    <w:rsid w:val="002A06FE"/>
    <w:rsid w:val="002A1CB4"/>
    <w:rsid w:val="002A4CF2"/>
    <w:rsid w:val="002A5D23"/>
    <w:rsid w:val="002A6385"/>
    <w:rsid w:val="002D0271"/>
    <w:rsid w:val="002D076D"/>
    <w:rsid w:val="002D110F"/>
    <w:rsid w:val="002D2573"/>
    <w:rsid w:val="002E62DB"/>
    <w:rsid w:val="002E6351"/>
    <w:rsid w:val="002F1F7A"/>
    <w:rsid w:val="002F2BDB"/>
    <w:rsid w:val="0030106E"/>
    <w:rsid w:val="00310F94"/>
    <w:rsid w:val="00312775"/>
    <w:rsid w:val="003168B8"/>
    <w:rsid w:val="0032673C"/>
    <w:rsid w:val="00327361"/>
    <w:rsid w:val="0033007F"/>
    <w:rsid w:val="00332B59"/>
    <w:rsid w:val="003357C5"/>
    <w:rsid w:val="00345568"/>
    <w:rsid w:val="0036172B"/>
    <w:rsid w:val="003619EC"/>
    <w:rsid w:val="00367C9C"/>
    <w:rsid w:val="00373495"/>
    <w:rsid w:val="003915ED"/>
    <w:rsid w:val="003949BE"/>
    <w:rsid w:val="003A1807"/>
    <w:rsid w:val="003A1F1C"/>
    <w:rsid w:val="003A71B0"/>
    <w:rsid w:val="003C0823"/>
    <w:rsid w:val="003C2031"/>
    <w:rsid w:val="003C3759"/>
    <w:rsid w:val="003C5296"/>
    <w:rsid w:val="003C62D0"/>
    <w:rsid w:val="003C65AC"/>
    <w:rsid w:val="00416978"/>
    <w:rsid w:val="00426AE7"/>
    <w:rsid w:val="00435BE5"/>
    <w:rsid w:val="004448A3"/>
    <w:rsid w:val="00474CB0"/>
    <w:rsid w:val="004753A3"/>
    <w:rsid w:val="00483188"/>
    <w:rsid w:val="004903B4"/>
    <w:rsid w:val="004903FF"/>
    <w:rsid w:val="004A30B3"/>
    <w:rsid w:val="004D1522"/>
    <w:rsid w:val="004D2D1F"/>
    <w:rsid w:val="00502690"/>
    <w:rsid w:val="00503924"/>
    <w:rsid w:val="0051596F"/>
    <w:rsid w:val="0052104B"/>
    <w:rsid w:val="0053110E"/>
    <w:rsid w:val="00531EF7"/>
    <w:rsid w:val="00536107"/>
    <w:rsid w:val="005405A3"/>
    <w:rsid w:val="005418CB"/>
    <w:rsid w:val="0055216E"/>
    <w:rsid w:val="00553887"/>
    <w:rsid w:val="00576336"/>
    <w:rsid w:val="005844CB"/>
    <w:rsid w:val="00585B23"/>
    <w:rsid w:val="0059438C"/>
    <w:rsid w:val="005951B1"/>
    <w:rsid w:val="005A0513"/>
    <w:rsid w:val="005A09E9"/>
    <w:rsid w:val="005A2742"/>
    <w:rsid w:val="005A4145"/>
    <w:rsid w:val="005A448A"/>
    <w:rsid w:val="005A6AB9"/>
    <w:rsid w:val="005B6F8C"/>
    <w:rsid w:val="005C75D5"/>
    <w:rsid w:val="005D2C5F"/>
    <w:rsid w:val="005D4B94"/>
    <w:rsid w:val="005D7F5D"/>
    <w:rsid w:val="005E4EAF"/>
    <w:rsid w:val="005F7509"/>
    <w:rsid w:val="00611387"/>
    <w:rsid w:val="0061653E"/>
    <w:rsid w:val="00621BC8"/>
    <w:rsid w:val="00630031"/>
    <w:rsid w:val="00633E26"/>
    <w:rsid w:val="00634EA3"/>
    <w:rsid w:val="006361C9"/>
    <w:rsid w:val="00642D14"/>
    <w:rsid w:val="006432EA"/>
    <w:rsid w:val="0064412B"/>
    <w:rsid w:val="00690B57"/>
    <w:rsid w:val="00697CA8"/>
    <w:rsid w:val="006A4B8A"/>
    <w:rsid w:val="006B0873"/>
    <w:rsid w:val="006B4CAF"/>
    <w:rsid w:val="006B70A7"/>
    <w:rsid w:val="006D0408"/>
    <w:rsid w:val="006D6EE5"/>
    <w:rsid w:val="006D7A76"/>
    <w:rsid w:val="006E2C0A"/>
    <w:rsid w:val="006E61FF"/>
    <w:rsid w:val="006E789C"/>
    <w:rsid w:val="006F03C8"/>
    <w:rsid w:val="006F6AB2"/>
    <w:rsid w:val="00705622"/>
    <w:rsid w:val="0070659C"/>
    <w:rsid w:val="00710DB3"/>
    <w:rsid w:val="00715A77"/>
    <w:rsid w:val="007172F1"/>
    <w:rsid w:val="00722332"/>
    <w:rsid w:val="007305E4"/>
    <w:rsid w:val="007404E8"/>
    <w:rsid w:val="00743A53"/>
    <w:rsid w:val="00744815"/>
    <w:rsid w:val="0078602D"/>
    <w:rsid w:val="007A2676"/>
    <w:rsid w:val="007A5E62"/>
    <w:rsid w:val="007B2968"/>
    <w:rsid w:val="007C13C3"/>
    <w:rsid w:val="007C7B56"/>
    <w:rsid w:val="007D38A4"/>
    <w:rsid w:val="007E66F4"/>
    <w:rsid w:val="007F2EFE"/>
    <w:rsid w:val="008015D5"/>
    <w:rsid w:val="00801B42"/>
    <w:rsid w:val="008125EE"/>
    <w:rsid w:val="008143DA"/>
    <w:rsid w:val="008144AB"/>
    <w:rsid w:val="0082139E"/>
    <w:rsid w:val="00823304"/>
    <w:rsid w:val="008254D4"/>
    <w:rsid w:val="0082644B"/>
    <w:rsid w:val="00826B1D"/>
    <w:rsid w:val="008277C3"/>
    <w:rsid w:val="00834461"/>
    <w:rsid w:val="00842B13"/>
    <w:rsid w:val="008446CD"/>
    <w:rsid w:val="00847B1C"/>
    <w:rsid w:val="00853EAB"/>
    <w:rsid w:val="00862FDC"/>
    <w:rsid w:val="008751C8"/>
    <w:rsid w:val="00880434"/>
    <w:rsid w:val="0089313E"/>
    <w:rsid w:val="00896C6B"/>
    <w:rsid w:val="008A6D8D"/>
    <w:rsid w:val="008B2BEB"/>
    <w:rsid w:val="008B32FF"/>
    <w:rsid w:val="008B3939"/>
    <w:rsid w:val="008C1AD8"/>
    <w:rsid w:val="008C7AF4"/>
    <w:rsid w:val="008D1E11"/>
    <w:rsid w:val="008D606C"/>
    <w:rsid w:val="008D6865"/>
    <w:rsid w:val="008E07F2"/>
    <w:rsid w:val="008E3815"/>
    <w:rsid w:val="008E5F71"/>
    <w:rsid w:val="008F6C04"/>
    <w:rsid w:val="00902CD0"/>
    <w:rsid w:val="00911444"/>
    <w:rsid w:val="00914D69"/>
    <w:rsid w:val="00915D6E"/>
    <w:rsid w:val="009207BC"/>
    <w:rsid w:val="00937F2F"/>
    <w:rsid w:val="00947912"/>
    <w:rsid w:val="00950BA5"/>
    <w:rsid w:val="009538D7"/>
    <w:rsid w:val="00953CDD"/>
    <w:rsid w:val="00954806"/>
    <w:rsid w:val="009766CA"/>
    <w:rsid w:val="009819C1"/>
    <w:rsid w:val="00991533"/>
    <w:rsid w:val="00995E27"/>
    <w:rsid w:val="009A7DF2"/>
    <w:rsid w:val="009C361C"/>
    <w:rsid w:val="009D1C11"/>
    <w:rsid w:val="009D6F2A"/>
    <w:rsid w:val="009E12EC"/>
    <w:rsid w:val="009E25C2"/>
    <w:rsid w:val="009E4F2E"/>
    <w:rsid w:val="009F3E81"/>
    <w:rsid w:val="00A1088A"/>
    <w:rsid w:val="00A47F37"/>
    <w:rsid w:val="00A516EC"/>
    <w:rsid w:val="00A52D56"/>
    <w:rsid w:val="00A5651F"/>
    <w:rsid w:val="00A57004"/>
    <w:rsid w:val="00A6090C"/>
    <w:rsid w:val="00A6732C"/>
    <w:rsid w:val="00A704EA"/>
    <w:rsid w:val="00A76777"/>
    <w:rsid w:val="00A9120F"/>
    <w:rsid w:val="00A92585"/>
    <w:rsid w:val="00A93AB0"/>
    <w:rsid w:val="00AA0654"/>
    <w:rsid w:val="00AA51D1"/>
    <w:rsid w:val="00AB6D75"/>
    <w:rsid w:val="00AB74F3"/>
    <w:rsid w:val="00AB7D3F"/>
    <w:rsid w:val="00AD11AE"/>
    <w:rsid w:val="00AD428B"/>
    <w:rsid w:val="00AE38A4"/>
    <w:rsid w:val="00AE3996"/>
    <w:rsid w:val="00B01052"/>
    <w:rsid w:val="00B075D9"/>
    <w:rsid w:val="00B139EA"/>
    <w:rsid w:val="00B16A59"/>
    <w:rsid w:val="00B16BE7"/>
    <w:rsid w:val="00B22C89"/>
    <w:rsid w:val="00B26B75"/>
    <w:rsid w:val="00B373BB"/>
    <w:rsid w:val="00B4029F"/>
    <w:rsid w:val="00B41373"/>
    <w:rsid w:val="00B47B94"/>
    <w:rsid w:val="00B5025A"/>
    <w:rsid w:val="00B60CB6"/>
    <w:rsid w:val="00B6513F"/>
    <w:rsid w:val="00B71085"/>
    <w:rsid w:val="00B72ACE"/>
    <w:rsid w:val="00B909FE"/>
    <w:rsid w:val="00B9488E"/>
    <w:rsid w:val="00B95F4D"/>
    <w:rsid w:val="00BA5D65"/>
    <w:rsid w:val="00BB0D01"/>
    <w:rsid w:val="00BB23E7"/>
    <w:rsid w:val="00BB277A"/>
    <w:rsid w:val="00BC16BD"/>
    <w:rsid w:val="00BC1DD3"/>
    <w:rsid w:val="00BC3AF0"/>
    <w:rsid w:val="00BD31D3"/>
    <w:rsid w:val="00BF1203"/>
    <w:rsid w:val="00BF3A3D"/>
    <w:rsid w:val="00BF5BF9"/>
    <w:rsid w:val="00C036F5"/>
    <w:rsid w:val="00C13390"/>
    <w:rsid w:val="00C1347F"/>
    <w:rsid w:val="00C154F1"/>
    <w:rsid w:val="00C17F64"/>
    <w:rsid w:val="00C25E78"/>
    <w:rsid w:val="00C27F2E"/>
    <w:rsid w:val="00C34BFF"/>
    <w:rsid w:val="00C420FA"/>
    <w:rsid w:val="00C43AF5"/>
    <w:rsid w:val="00C43BE8"/>
    <w:rsid w:val="00C573EF"/>
    <w:rsid w:val="00C61CD1"/>
    <w:rsid w:val="00C75EB4"/>
    <w:rsid w:val="00C8275B"/>
    <w:rsid w:val="00C972A5"/>
    <w:rsid w:val="00CA5EA7"/>
    <w:rsid w:val="00CA6DD7"/>
    <w:rsid w:val="00CB4735"/>
    <w:rsid w:val="00CB795D"/>
    <w:rsid w:val="00CC381F"/>
    <w:rsid w:val="00CD0805"/>
    <w:rsid w:val="00CD151C"/>
    <w:rsid w:val="00CD159A"/>
    <w:rsid w:val="00CD36B5"/>
    <w:rsid w:val="00CF1111"/>
    <w:rsid w:val="00CF6A51"/>
    <w:rsid w:val="00D02724"/>
    <w:rsid w:val="00D03518"/>
    <w:rsid w:val="00D0367C"/>
    <w:rsid w:val="00D079B6"/>
    <w:rsid w:val="00D2278B"/>
    <w:rsid w:val="00D22FA3"/>
    <w:rsid w:val="00D30FF6"/>
    <w:rsid w:val="00D463C2"/>
    <w:rsid w:val="00D72288"/>
    <w:rsid w:val="00D73B71"/>
    <w:rsid w:val="00D90608"/>
    <w:rsid w:val="00DA3F9E"/>
    <w:rsid w:val="00DA6879"/>
    <w:rsid w:val="00DB54D4"/>
    <w:rsid w:val="00DE349C"/>
    <w:rsid w:val="00DE531B"/>
    <w:rsid w:val="00DF0C45"/>
    <w:rsid w:val="00DF1F91"/>
    <w:rsid w:val="00DF4E74"/>
    <w:rsid w:val="00E001FB"/>
    <w:rsid w:val="00E163F8"/>
    <w:rsid w:val="00E207FE"/>
    <w:rsid w:val="00E318EA"/>
    <w:rsid w:val="00E40EEF"/>
    <w:rsid w:val="00E50C10"/>
    <w:rsid w:val="00E623F3"/>
    <w:rsid w:val="00E638A3"/>
    <w:rsid w:val="00E8153D"/>
    <w:rsid w:val="00E964D6"/>
    <w:rsid w:val="00EB2C77"/>
    <w:rsid w:val="00EB77D2"/>
    <w:rsid w:val="00EC51C7"/>
    <w:rsid w:val="00ED3CF2"/>
    <w:rsid w:val="00ED7212"/>
    <w:rsid w:val="00EE1B90"/>
    <w:rsid w:val="00EF061E"/>
    <w:rsid w:val="00EF1068"/>
    <w:rsid w:val="00EF59D7"/>
    <w:rsid w:val="00F1563E"/>
    <w:rsid w:val="00F24EDD"/>
    <w:rsid w:val="00F27E7D"/>
    <w:rsid w:val="00F44D24"/>
    <w:rsid w:val="00F54ED6"/>
    <w:rsid w:val="00F60DC0"/>
    <w:rsid w:val="00F67E1C"/>
    <w:rsid w:val="00F85853"/>
    <w:rsid w:val="00FB1099"/>
    <w:rsid w:val="00FB3BFD"/>
    <w:rsid w:val="00FC7CE5"/>
    <w:rsid w:val="00FD1F31"/>
    <w:rsid w:val="00FE19E4"/>
    <w:rsid w:val="00FE65D0"/>
    <w:rsid w:val="00FF7A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BE059"/>
  <w15:chartTrackingRefBased/>
  <w15:docId w15:val="{9E1A9EE9-CB81-4C50-8916-626AE5656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1B90"/>
    <w:pPr>
      <w:widowControl w:val="0"/>
      <w:wordWrap w:val="0"/>
      <w:autoSpaceDE w:val="0"/>
      <w:autoSpaceDN w:val="0"/>
      <w:ind w:leftChars="400" w:left="800"/>
      <w:jc w:val="both"/>
    </w:pPr>
    <w:rPr>
      <w:sz w:val="20"/>
      <w14:ligatures w14:val="none"/>
    </w:rPr>
  </w:style>
  <w:style w:type="paragraph" w:styleId="a4">
    <w:name w:val="Normal (Web)"/>
    <w:basedOn w:val="a"/>
    <w:uiPriority w:val="99"/>
    <w:unhideWhenUsed/>
    <w:rsid w:val="001D3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a0"/>
    <w:rsid w:val="001D3D75"/>
  </w:style>
  <w:style w:type="character" w:customStyle="1" w:styleId="mopen">
    <w:name w:val="mopen"/>
    <w:basedOn w:val="a0"/>
    <w:rsid w:val="001D3D75"/>
  </w:style>
  <w:style w:type="character" w:customStyle="1" w:styleId="mord">
    <w:name w:val="mord"/>
    <w:basedOn w:val="a0"/>
    <w:rsid w:val="001D3D75"/>
  </w:style>
  <w:style w:type="character" w:customStyle="1" w:styleId="vlist-s">
    <w:name w:val="vlist-s"/>
    <w:basedOn w:val="a0"/>
    <w:rsid w:val="001D3D75"/>
  </w:style>
  <w:style w:type="character" w:customStyle="1" w:styleId="mclose">
    <w:name w:val="mclose"/>
    <w:basedOn w:val="a0"/>
    <w:rsid w:val="001D3D75"/>
  </w:style>
  <w:style w:type="character" w:customStyle="1" w:styleId="mbin">
    <w:name w:val="mbin"/>
    <w:basedOn w:val="a0"/>
    <w:rsid w:val="001D3D75"/>
  </w:style>
  <w:style w:type="table" w:styleId="a5">
    <w:name w:val="Table Grid"/>
    <w:basedOn w:val="a1"/>
    <w:uiPriority w:val="39"/>
    <w:rsid w:val="001D3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D3C8F"/>
    <w:rPr>
      <w:color w:val="666666"/>
    </w:rPr>
  </w:style>
  <w:style w:type="table" w:styleId="1">
    <w:name w:val="Grid Table 1 Light"/>
    <w:basedOn w:val="a1"/>
    <w:uiPriority w:val="46"/>
    <w:rsid w:val="001D3C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1D3C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7">
    <w:name w:val="Strong"/>
    <w:basedOn w:val="a0"/>
    <w:uiPriority w:val="22"/>
    <w:qFormat/>
    <w:rsid w:val="00BD31D3"/>
    <w:rPr>
      <w:b/>
      <w:bCs/>
    </w:rPr>
  </w:style>
  <w:style w:type="paragraph" w:styleId="a8">
    <w:name w:val="header"/>
    <w:basedOn w:val="a"/>
    <w:link w:val="Char"/>
    <w:uiPriority w:val="99"/>
    <w:unhideWhenUsed/>
    <w:rsid w:val="007305E4"/>
    <w:pPr>
      <w:tabs>
        <w:tab w:val="center" w:pos="4680"/>
        <w:tab w:val="right" w:pos="9360"/>
      </w:tabs>
      <w:spacing w:after="0" w:line="240" w:lineRule="auto"/>
    </w:pPr>
  </w:style>
  <w:style w:type="character" w:customStyle="1" w:styleId="Char">
    <w:name w:val="머리글 Char"/>
    <w:basedOn w:val="a0"/>
    <w:link w:val="a8"/>
    <w:uiPriority w:val="99"/>
    <w:rsid w:val="007305E4"/>
  </w:style>
  <w:style w:type="paragraph" w:styleId="a9">
    <w:name w:val="footer"/>
    <w:basedOn w:val="a"/>
    <w:link w:val="Char0"/>
    <w:uiPriority w:val="99"/>
    <w:unhideWhenUsed/>
    <w:rsid w:val="007305E4"/>
    <w:pPr>
      <w:tabs>
        <w:tab w:val="center" w:pos="4680"/>
        <w:tab w:val="right" w:pos="9360"/>
      </w:tabs>
      <w:spacing w:after="0" w:line="240" w:lineRule="auto"/>
    </w:pPr>
  </w:style>
  <w:style w:type="character" w:customStyle="1" w:styleId="Char0">
    <w:name w:val="바닥글 Char"/>
    <w:basedOn w:val="a0"/>
    <w:link w:val="a9"/>
    <w:uiPriority w:val="99"/>
    <w:rsid w:val="00730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6610">
      <w:bodyDiv w:val="1"/>
      <w:marLeft w:val="0"/>
      <w:marRight w:val="0"/>
      <w:marTop w:val="0"/>
      <w:marBottom w:val="0"/>
      <w:divBdr>
        <w:top w:val="none" w:sz="0" w:space="0" w:color="auto"/>
        <w:left w:val="none" w:sz="0" w:space="0" w:color="auto"/>
        <w:bottom w:val="none" w:sz="0" w:space="0" w:color="auto"/>
        <w:right w:val="none" w:sz="0" w:space="0" w:color="auto"/>
      </w:divBdr>
    </w:div>
    <w:div w:id="47533794">
      <w:bodyDiv w:val="1"/>
      <w:marLeft w:val="0"/>
      <w:marRight w:val="0"/>
      <w:marTop w:val="0"/>
      <w:marBottom w:val="0"/>
      <w:divBdr>
        <w:top w:val="none" w:sz="0" w:space="0" w:color="auto"/>
        <w:left w:val="none" w:sz="0" w:space="0" w:color="auto"/>
        <w:bottom w:val="none" w:sz="0" w:space="0" w:color="auto"/>
        <w:right w:val="none" w:sz="0" w:space="0" w:color="auto"/>
      </w:divBdr>
    </w:div>
    <w:div w:id="115803076">
      <w:bodyDiv w:val="1"/>
      <w:marLeft w:val="0"/>
      <w:marRight w:val="0"/>
      <w:marTop w:val="0"/>
      <w:marBottom w:val="0"/>
      <w:divBdr>
        <w:top w:val="none" w:sz="0" w:space="0" w:color="auto"/>
        <w:left w:val="none" w:sz="0" w:space="0" w:color="auto"/>
        <w:bottom w:val="none" w:sz="0" w:space="0" w:color="auto"/>
        <w:right w:val="none" w:sz="0" w:space="0" w:color="auto"/>
      </w:divBdr>
    </w:div>
    <w:div w:id="157885306">
      <w:bodyDiv w:val="1"/>
      <w:marLeft w:val="0"/>
      <w:marRight w:val="0"/>
      <w:marTop w:val="0"/>
      <w:marBottom w:val="0"/>
      <w:divBdr>
        <w:top w:val="none" w:sz="0" w:space="0" w:color="auto"/>
        <w:left w:val="none" w:sz="0" w:space="0" w:color="auto"/>
        <w:bottom w:val="none" w:sz="0" w:space="0" w:color="auto"/>
        <w:right w:val="none" w:sz="0" w:space="0" w:color="auto"/>
      </w:divBdr>
    </w:div>
    <w:div w:id="265582448">
      <w:bodyDiv w:val="1"/>
      <w:marLeft w:val="0"/>
      <w:marRight w:val="0"/>
      <w:marTop w:val="0"/>
      <w:marBottom w:val="0"/>
      <w:divBdr>
        <w:top w:val="none" w:sz="0" w:space="0" w:color="auto"/>
        <w:left w:val="none" w:sz="0" w:space="0" w:color="auto"/>
        <w:bottom w:val="none" w:sz="0" w:space="0" w:color="auto"/>
        <w:right w:val="none" w:sz="0" w:space="0" w:color="auto"/>
      </w:divBdr>
    </w:div>
    <w:div w:id="282616714">
      <w:bodyDiv w:val="1"/>
      <w:marLeft w:val="0"/>
      <w:marRight w:val="0"/>
      <w:marTop w:val="0"/>
      <w:marBottom w:val="0"/>
      <w:divBdr>
        <w:top w:val="none" w:sz="0" w:space="0" w:color="auto"/>
        <w:left w:val="none" w:sz="0" w:space="0" w:color="auto"/>
        <w:bottom w:val="none" w:sz="0" w:space="0" w:color="auto"/>
        <w:right w:val="none" w:sz="0" w:space="0" w:color="auto"/>
      </w:divBdr>
    </w:div>
    <w:div w:id="325322647">
      <w:bodyDiv w:val="1"/>
      <w:marLeft w:val="0"/>
      <w:marRight w:val="0"/>
      <w:marTop w:val="0"/>
      <w:marBottom w:val="0"/>
      <w:divBdr>
        <w:top w:val="none" w:sz="0" w:space="0" w:color="auto"/>
        <w:left w:val="none" w:sz="0" w:space="0" w:color="auto"/>
        <w:bottom w:val="none" w:sz="0" w:space="0" w:color="auto"/>
        <w:right w:val="none" w:sz="0" w:space="0" w:color="auto"/>
      </w:divBdr>
    </w:div>
    <w:div w:id="418605754">
      <w:bodyDiv w:val="1"/>
      <w:marLeft w:val="0"/>
      <w:marRight w:val="0"/>
      <w:marTop w:val="0"/>
      <w:marBottom w:val="0"/>
      <w:divBdr>
        <w:top w:val="none" w:sz="0" w:space="0" w:color="auto"/>
        <w:left w:val="none" w:sz="0" w:space="0" w:color="auto"/>
        <w:bottom w:val="none" w:sz="0" w:space="0" w:color="auto"/>
        <w:right w:val="none" w:sz="0" w:space="0" w:color="auto"/>
      </w:divBdr>
    </w:div>
    <w:div w:id="497311231">
      <w:bodyDiv w:val="1"/>
      <w:marLeft w:val="0"/>
      <w:marRight w:val="0"/>
      <w:marTop w:val="0"/>
      <w:marBottom w:val="0"/>
      <w:divBdr>
        <w:top w:val="none" w:sz="0" w:space="0" w:color="auto"/>
        <w:left w:val="none" w:sz="0" w:space="0" w:color="auto"/>
        <w:bottom w:val="none" w:sz="0" w:space="0" w:color="auto"/>
        <w:right w:val="none" w:sz="0" w:space="0" w:color="auto"/>
      </w:divBdr>
    </w:div>
    <w:div w:id="519664111">
      <w:bodyDiv w:val="1"/>
      <w:marLeft w:val="0"/>
      <w:marRight w:val="0"/>
      <w:marTop w:val="0"/>
      <w:marBottom w:val="0"/>
      <w:divBdr>
        <w:top w:val="none" w:sz="0" w:space="0" w:color="auto"/>
        <w:left w:val="none" w:sz="0" w:space="0" w:color="auto"/>
        <w:bottom w:val="none" w:sz="0" w:space="0" w:color="auto"/>
        <w:right w:val="none" w:sz="0" w:space="0" w:color="auto"/>
      </w:divBdr>
    </w:div>
    <w:div w:id="599459381">
      <w:bodyDiv w:val="1"/>
      <w:marLeft w:val="0"/>
      <w:marRight w:val="0"/>
      <w:marTop w:val="0"/>
      <w:marBottom w:val="0"/>
      <w:divBdr>
        <w:top w:val="none" w:sz="0" w:space="0" w:color="auto"/>
        <w:left w:val="none" w:sz="0" w:space="0" w:color="auto"/>
        <w:bottom w:val="none" w:sz="0" w:space="0" w:color="auto"/>
        <w:right w:val="none" w:sz="0" w:space="0" w:color="auto"/>
      </w:divBdr>
    </w:div>
    <w:div w:id="611978845">
      <w:bodyDiv w:val="1"/>
      <w:marLeft w:val="0"/>
      <w:marRight w:val="0"/>
      <w:marTop w:val="0"/>
      <w:marBottom w:val="0"/>
      <w:divBdr>
        <w:top w:val="none" w:sz="0" w:space="0" w:color="auto"/>
        <w:left w:val="none" w:sz="0" w:space="0" w:color="auto"/>
        <w:bottom w:val="none" w:sz="0" w:space="0" w:color="auto"/>
        <w:right w:val="none" w:sz="0" w:space="0" w:color="auto"/>
      </w:divBdr>
    </w:div>
    <w:div w:id="623779804">
      <w:bodyDiv w:val="1"/>
      <w:marLeft w:val="0"/>
      <w:marRight w:val="0"/>
      <w:marTop w:val="0"/>
      <w:marBottom w:val="0"/>
      <w:divBdr>
        <w:top w:val="none" w:sz="0" w:space="0" w:color="auto"/>
        <w:left w:val="none" w:sz="0" w:space="0" w:color="auto"/>
        <w:bottom w:val="none" w:sz="0" w:space="0" w:color="auto"/>
        <w:right w:val="none" w:sz="0" w:space="0" w:color="auto"/>
      </w:divBdr>
    </w:div>
    <w:div w:id="798574725">
      <w:bodyDiv w:val="1"/>
      <w:marLeft w:val="0"/>
      <w:marRight w:val="0"/>
      <w:marTop w:val="0"/>
      <w:marBottom w:val="0"/>
      <w:divBdr>
        <w:top w:val="none" w:sz="0" w:space="0" w:color="auto"/>
        <w:left w:val="none" w:sz="0" w:space="0" w:color="auto"/>
        <w:bottom w:val="none" w:sz="0" w:space="0" w:color="auto"/>
        <w:right w:val="none" w:sz="0" w:space="0" w:color="auto"/>
      </w:divBdr>
    </w:div>
    <w:div w:id="817306068">
      <w:bodyDiv w:val="1"/>
      <w:marLeft w:val="0"/>
      <w:marRight w:val="0"/>
      <w:marTop w:val="0"/>
      <w:marBottom w:val="0"/>
      <w:divBdr>
        <w:top w:val="none" w:sz="0" w:space="0" w:color="auto"/>
        <w:left w:val="none" w:sz="0" w:space="0" w:color="auto"/>
        <w:bottom w:val="none" w:sz="0" w:space="0" w:color="auto"/>
        <w:right w:val="none" w:sz="0" w:space="0" w:color="auto"/>
      </w:divBdr>
    </w:div>
    <w:div w:id="930770998">
      <w:bodyDiv w:val="1"/>
      <w:marLeft w:val="0"/>
      <w:marRight w:val="0"/>
      <w:marTop w:val="0"/>
      <w:marBottom w:val="0"/>
      <w:divBdr>
        <w:top w:val="none" w:sz="0" w:space="0" w:color="auto"/>
        <w:left w:val="none" w:sz="0" w:space="0" w:color="auto"/>
        <w:bottom w:val="none" w:sz="0" w:space="0" w:color="auto"/>
        <w:right w:val="none" w:sz="0" w:space="0" w:color="auto"/>
      </w:divBdr>
    </w:div>
    <w:div w:id="946699933">
      <w:bodyDiv w:val="1"/>
      <w:marLeft w:val="0"/>
      <w:marRight w:val="0"/>
      <w:marTop w:val="0"/>
      <w:marBottom w:val="0"/>
      <w:divBdr>
        <w:top w:val="none" w:sz="0" w:space="0" w:color="auto"/>
        <w:left w:val="none" w:sz="0" w:space="0" w:color="auto"/>
        <w:bottom w:val="none" w:sz="0" w:space="0" w:color="auto"/>
        <w:right w:val="none" w:sz="0" w:space="0" w:color="auto"/>
      </w:divBdr>
    </w:div>
    <w:div w:id="1004631004">
      <w:bodyDiv w:val="1"/>
      <w:marLeft w:val="0"/>
      <w:marRight w:val="0"/>
      <w:marTop w:val="0"/>
      <w:marBottom w:val="0"/>
      <w:divBdr>
        <w:top w:val="none" w:sz="0" w:space="0" w:color="auto"/>
        <w:left w:val="none" w:sz="0" w:space="0" w:color="auto"/>
        <w:bottom w:val="none" w:sz="0" w:space="0" w:color="auto"/>
        <w:right w:val="none" w:sz="0" w:space="0" w:color="auto"/>
      </w:divBdr>
    </w:div>
    <w:div w:id="1165820599">
      <w:bodyDiv w:val="1"/>
      <w:marLeft w:val="0"/>
      <w:marRight w:val="0"/>
      <w:marTop w:val="0"/>
      <w:marBottom w:val="0"/>
      <w:divBdr>
        <w:top w:val="none" w:sz="0" w:space="0" w:color="auto"/>
        <w:left w:val="none" w:sz="0" w:space="0" w:color="auto"/>
        <w:bottom w:val="none" w:sz="0" w:space="0" w:color="auto"/>
        <w:right w:val="none" w:sz="0" w:space="0" w:color="auto"/>
      </w:divBdr>
    </w:div>
    <w:div w:id="1184631741">
      <w:bodyDiv w:val="1"/>
      <w:marLeft w:val="0"/>
      <w:marRight w:val="0"/>
      <w:marTop w:val="0"/>
      <w:marBottom w:val="0"/>
      <w:divBdr>
        <w:top w:val="none" w:sz="0" w:space="0" w:color="auto"/>
        <w:left w:val="none" w:sz="0" w:space="0" w:color="auto"/>
        <w:bottom w:val="none" w:sz="0" w:space="0" w:color="auto"/>
        <w:right w:val="none" w:sz="0" w:space="0" w:color="auto"/>
      </w:divBdr>
    </w:div>
    <w:div w:id="1299989400">
      <w:bodyDiv w:val="1"/>
      <w:marLeft w:val="0"/>
      <w:marRight w:val="0"/>
      <w:marTop w:val="0"/>
      <w:marBottom w:val="0"/>
      <w:divBdr>
        <w:top w:val="none" w:sz="0" w:space="0" w:color="auto"/>
        <w:left w:val="none" w:sz="0" w:space="0" w:color="auto"/>
        <w:bottom w:val="none" w:sz="0" w:space="0" w:color="auto"/>
        <w:right w:val="none" w:sz="0" w:space="0" w:color="auto"/>
      </w:divBdr>
    </w:div>
    <w:div w:id="1343126481">
      <w:bodyDiv w:val="1"/>
      <w:marLeft w:val="0"/>
      <w:marRight w:val="0"/>
      <w:marTop w:val="0"/>
      <w:marBottom w:val="0"/>
      <w:divBdr>
        <w:top w:val="none" w:sz="0" w:space="0" w:color="auto"/>
        <w:left w:val="none" w:sz="0" w:space="0" w:color="auto"/>
        <w:bottom w:val="none" w:sz="0" w:space="0" w:color="auto"/>
        <w:right w:val="none" w:sz="0" w:space="0" w:color="auto"/>
      </w:divBdr>
      <w:divsChild>
        <w:div w:id="1179858049">
          <w:marLeft w:val="0"/>
          <w:marRight w:val="0"/>
          <w:marTop w:val="0"/>
          <w:marBottom w:val="0"/>
          <w:divBdr>
            <w:top w:val="none" w:sz="0" w:space="0" w:color="auto"/>
            <w:left w:val="none" w:sz="0" w:space="0" w:color="auto"/>
            <w:bottom w:val="none" w:sz="0" w:space="0" w:color="auto"/>
            <w:right w:val="none" w:sz="0" w:space="0" w:color="auto"/>
          </w:divBdr>
          <w:divsChild>
            <w:div w:id="1571041021">
              <w:marLeft w:val="0"/>
              <w:marRight w:val="0"/>
              <w:marTop w:val="0"/>
              <w:marBottom w:val="0"/>
              <w:divBdr>
                <w:top w:val="none" w:sz="0" w:space="0" w:color="auto"/>
                <w:left w:val="none" w:sz="0" w:space="0" w:color="auto"/>
                <w:bottom w:val="none" w:sz="0" w:space="0" w:color="auto"/>
                <w:right w:val="none" w:sz="0" w:space="0" w:color="auto"/>
              </w:divBdr>
              <w:divsChild>
                <w:div w:id="1639871789">
                  <w:marLeft w:val="0"/>
                  <w:marRight w:val="0"/>
                  <w:marTop w:val="0"/>
                  <w:marBottom w:val="0"/>
                  <w:divBdr>
                    <w:top w:val="none" w:sz="0" w:space="0" w:color="auto"/>
                    <w:left w:val="none" w:sz="0" w:space="0" w:color="auto"/>
                    <w:bottom w:val="none" w:sz="0" w:space="0" w:color="auto"/>
                    <w:right w:val="none" w:sz="0" w:space="0" w:color="auto"/>
                  </w:divBdr>
                  <w:divsChild>
                    <w:div w:id="1450661276">
                      <w:marLeft w:val="0"/>
                      <w:marRight w:val="0"/>
                      <w:marTop w:val="0"/>
                      <w:marBottom w:val="0"/>
                      <w:divBdr>
                        <w:top w:val="none" w:sz="0" w:space="0" w:color="auto"/>
                        <w:left w:val="none" w:sz="0" w:space="0" w:color="auto"/>
                        <w:bottom w:val="none" w:sz="0" w:space="0" w:color="auto"/>
                        <w:right w:val="none" w:sz="0" w:space="0" w:color="auto"/>
                      </w:divBdr>
                      <w:divsChild>
                        <w:div w:id="178005377">
                          <w:marLeft w:val="0"/>
                          <w:marRight w:val="0"/>
                          <w:marTop w:val="0"/>
                          <w:marBottom w:val="0"/>
                          <w:divBdr>
                            <w:top w:val="none" w:sz="0" w:space="0" w:color="auto"/>
                            <w:left w:val="none" w:sz="0" w:space="0" w:color="auto"/>
                            <w:bottom w:val="none" w:sz="0" w:space="0" w:color="auto"/>
                            <w:right w:val="none" w:sz="0" w:space="0" w:color="auto"/>
                          </w:divBdr>
                          <w:divsChild>
                            <w:div w:id="21227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236655">
      <w:bodyDiv w:val="1"/>
      <w:marLeft w:val="0"/>
      <w:marRight w:val="0"/>
      <w:marTop w:val="0"/>
      <w:marBottom w:val="0"/>
      <w:divBdr>
        <w:top w:val="none" w:sz="0" w:space="0" w:color="auto"/>
        <w:left w:val="none" w:sz="0" w:space="0" w:color="auto"/>
        <w:bottom w:val="none" w:sz="0" w:space="0" w:color="auto"/>
        <w:right w:val="none" w:sz="0" w:space="0" w:color="auto"/>
      </w:divBdr>
    </w:div>
    <w:div w:id="1396974877">
      <w:bodyDiv w:val="1"/>
      <w:marLeft w:val="0"/>
      <w:marRight w:val="0"/>
      <w:marTop w:val="0"/>
      <w:marBottom w:val="0"/>
      <w:divBdr>
        <w:top w:val="none" w:sz="0" w:space="0" w:color="auto"/>
        <w:left w:val="none" w:sz="0" w:space="0" w:color="auto"/>
        <w:bottom w:val="none" w:sz="0" w:space="0" w:color="auto"/>
        <w:right w:val="none" w:sz="0" w:space="0" w:color="auto"/>
      </w:divBdr>
    </w:div>
    <w:div w:id="1436942755">
      <w:bodyDiv w:val="1"/>
      <w:marLeft w:val="0"/>
      <w:marRight w:val="0"/>
      <w:marTop w:val="0"/>
      <w:marBottom w:val="0"/>
      <w:divBdr>
        <w:top w:val="none" w:sz="0" w:space="0" w:color="auto"/>
        <w:left w:val="none" w:sz="0" w:space="0" w:color="auto"/>
        <w:bottom w:val="none" w:sz="0" w:space="0" w:color="auto"/>
        <w:right w:val="none" w:sz="0" w:space="0" w:color="auto"/>
      </w:divBdr>
    </w:div>
    <w:div w:id="1440292964">
      <w:bodyDiv w:val="1"/>
      <w:marLeft w:val="0"/>
      <w:marRight w:val="0"/>
      <w:marTop w:val="0"/>
      <w:marBottom w:val="0"/>
      <w:divBdr>
        <w:top w:val="none" w:sz="0" w:space="0" w:color="auto"/>
        <w:left w:val="none" w:sz="0" w:space="0" w:color="auto"/>
        <w:bottom w:val="none" w:sz="0" w:space="0" w:color="auto"/>
        <w:right w:val="none" w:sz="0" w:space="0" w:color="auto"/>
      </w:divBdr>
    </w:div>
    <w:div w:id="1701199846">
      <w:bodyDiv w:val="1"/>
      <w:marLeft w:val="0"/>
      <w:marRight w:val="0"/>
      <w:marTop w:val="0"/>
      <w:marBottom w:val="0"/>
      <w:divBdr>
        <w:top w:val="none" w:sz="0" w:space="0" w:color="auto"/>
        <w:left w:val="none" w:sz="0" w:space="0" w:color="auto"/>
        <w:bottom w:val="none" w:sz="0" w:space="0" w:color="auto"/>
        <w:right w:val="none" w:sz="0" w:space="0" w:color="auto"/>
      </w:divBdr>
    </w:div>
    <w:div w:id="1729188895">
      <w:bodyDiv w:val="1"/>
      <w:marLeft w:val="0"/>
      <w:marRight w:val="0"/>
      <w:marTop w:val="0"/>
      <w:marBottom w:val="0"/>
      <w:divBdr>
        <w:top w:val="none" w:sz="0" w:space="0" w:color="auto"/>
        <w:left w:val="none" w:sz="0" w:space="0" w:color="auto"/>
        <w:bottom w:val="none" w:sz="0" w:space="0" w:color="auto"/>
        <w:right w:val="none" w:sz="0" w:space="0" w:color="auto"/>
      </w:divBdr>
    </w:div>
    <w:div w:id="1805538599">
      <w:bodyDiv w:val="1"/>
      <w:marLeft w:val="0"/>
      <w:marRight w:val="0"/>
      <w:marTop w:val="0"/>
      <w:marBottom w:val="0"/>
      <w:divBdr>
        <w:top w:val="none" w:sz="0" w:space="0" w:color="auto"/>
        <w:left w:val="none" w:sz="0" w:space="0" w:color="auto"/>
        <w:bottom w:val="none" w:sz="0" w:space="0" w:color="auto"/>
        <w:right w:val="none" w:sz="0" w:space="0" w:color="auto"/>
      </w:divBdr>
    </w:div>
    <w:div w:id="1830755412">
      <w:bodyDiv w:val="1"/>
      <w:marLeft w:val="0"/>
      <w:marRight w:val="0"/>
      <w:marTop w:val="0"/>
      <w:marBottom w:val="0"/>
      <w:divBdr>
        <w:top w:val="none" w:sz="0" w:space="0" w:color="auto"/>
        <w:left w:val="none" w:sz="0" w:space="0" w:color="auto"/>
        <w:bottom w:val="none" w:sz="0" w:space="0" w:color="auto"/>
        <w:right w:val="none" w:sz="0" w:space="0" w:color="auto"/>
      </w:divBdr>
    </w:div>
    <w:div w:id="1864857476">
      <w:bodyDiv w:val="1"/>
      <w:marLeft w:val="0"/>
      <w:marRight w:val="0"/>
      <w:marTop w:val="0"/>
      <w:marBottom w:val="0"/>
      <w:divBdr>
        <w:top w:val="none" w:sz="0" w:space="0" w:color="auto"/>
        <w:left w:val="none" w:sz="0" w:space="0" w:color="auto"/>
        <w:bottom w:val="none" w:sz="0" w:space="0" w:color="auto"/>
        <w:right w:val="none" w:sz="0" w:space="0" w:color="auto"/>
      </w:divBdr>
    </w:div>
    <w:div w:id="1878472604">
      <w:bodyDiv w:val="1"/>
      <w:marLeft w:val="0"/>
      <w:marRight w:val="0"/>
      <w:marTop w:val="0"/>
      <w:marBottom w:val="0"/>
      <w:divBdr>
        <w:top w:val="none" w:sz="0" w:space="0" w:color="auto"/>
        <w:left w:val="none" w:sz="0" w:space="0" w:color="auto"/>
        <w:bottom w:val="none" w:sz="0" w:space="0" w:color="auto"/>
        <w:right w:val="none" w:sz="0" w:space="0" w:color="auto"/>
      </w:divBdr>
    </w:div>
    <w:div w:id="1903905624">
      <w:bodyDiv w:val="1"/>
      <w:marLeft w:val="0"/>
      <w:marRight w:val="0"/>
      <w:marTop w:val="0"/>
      <w:marBottom w:val="0"/>
      <w:divBdr>
        <w:top w:val="none" w:sz="0" w:space="0" w:color="auto"/>
        <w:left w:val="none" w:sz="0" w:space="0" w:color="auto"/>
        <w:bottom w:val="none" w:sz="0" w:space="0" w:color="auto"/>
        <w:right w:val="none" w:sz="0" w:space="0" w:color="auto"/>
      </w:divBdr>
    </w:div>
    <w:div w:id="191380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1582</TotalTime>
  <Pages>13</Pages>
  <Words>3193</Words>
  <Characters>18201</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Honghyun Kim</dc:creator>
  <cp:keywords/>
  <dc:description/>
  <cp:lastModifiedBy>Honghyun Kim</cp:lastModifiedBy>
  <cp:revision>495</cp:revision>
  <dcterms:created xsi:type="dcterms:W3CDTF">2024-11-05T06:24:00Z</dcterms:created>
  <dcterms:modified xsi:type="dcterms:W3CDTF">2024-11-09T05:08:00Z</dcterms:modified>
</cp:coreProperties>
</file>