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0855C1" w14:textId="6CAE962D" w:rsidR="00474CB0" w:rsidRPr="00D2278B" w:rsidRDefault="007305E4" w:rsidP="00DE531B">
      <w:pPr>
        <w:spacing w:line="360" w:lineRule="auto"/>
        <w:jc w:val="center"/>
        <w:rPr>
          <w:rFonts w:ascii="Times New Roman" w:hAnsi="Times New Roman" w:cs="Times New Roman"/>
          <w:b/>
          <w:bCs/>
          <w:sz w:val="32"/>
          <w:szCs w:val="36"/>
        </w:rPr>
      </w:pPr>
      <w:r w:rsidRPr="007305E4">
        <w:rPr>
          <w:rFonts w:ascii="Times New Roman" w:hAnsi="Times New Roman" w:cs="Times New Roman"/>
          <w:b/>
          <w:bCs/>
          <w:sz w:val="32"/>
          <w:szCs w:val="36"/>
        </w:rPr>
        <w:t>Competitive Adsorption of Nitrogen and Hydrogen on Catalyst Surfaces: Implications for Optimizing Ammonia Synthesis</w:t>
      </w:r>
      <w:r>
        <w:rPr>
          <w:rFonts w:ascii="Times New Roman" w:hAnsi="Times New Roman" w:cs="Times New Roman" w:hint="eastAsia"/>
          <w:b/>
          <w:bCs/>
          <w:sz w:val="32"/>
          <w:szCs w:val="36"/>
        </w:rPr>
        <w:t xml:space="preserve"> </w:t>
      </w:r>
    </w:p>
    <w:p w14:paraId="13AED4E6" w14:textId="77777777" w:rsidR="00AB7D3F" w:rsidRPr="00EE1B90" w:rsidRDefault="00AB7D3F" w:rsidP="001D16EC">
      <w:pPr>
        <w:spacing w:line="360" w:lineRule="auto"/>
        <w:jc w:val="both"/>
        <w:rPr>
          <w:rFonts w:ascii="Times New Roman" w:hAnsi="Times New Roman" w:cs="Times New Roman"/>
          <w:b/>
          <w:bCs/>
          <w:sz w:val="28"/>
          <w:szCs w:val="32"/>
        </w:rPr>
      </w:pPr>
    </w:p>
    <w:p w14:paraId="07452670" w14:textId="71596DD9" w:rsidR="00AB7D3F" w:rsidRDefault="00AB7D3F" w:rsidP="004448A3">
      <w:pPr>
        <w:spacing w:line="360" w:lineRule="auto"/>
        <w:jc w:val="right"/>
        <w:rPr>
          <w:rFonts w:ascii="Times New Roman" w:hAnsi="Times New Roman" w:cs="Times New Roman"/>
          <w:sz w:val="24"/>
          <w:szCs w:val="24"/>
        </w:rPr>
      </w:pPr>
      <w:r w:rsidRPr="00AB7D3F">
        <w:rPr>
          <w:rFonts w:ascii="Times New Roman" w:hAnsi="Times New Roman" w:cs="Times New Roman" w:hint="eastAsia"/>
          <w:sz w:val="24"/>
          <w:szCs w:val="24"/>
        </w:rPr>
        <w:t>Honghyun Kim</w:t>
      </w:r>
    </w:p>
    <w:p w14:paraId="309CDD96" w14:textId="77777777" w:rsidR="00AB7D3F" w:rsidRPr="00AB7D3F" w:rsidRDefault="00AB7D3F" w:rsidP="001D16EC">
      <w:pPr>
        <w:spacing w:line="360" w:lineRule="auto"/>
        <w:jc w:val="both"/>
        <w:rPr>
          <w:rFonts w:ascii="Times New Roman" w:hAnsi="Times New Roman" w:cs="Times New Roman"/>
          <w:sz w:val="24"/>
          <w:szCs w:val="24"/>
        </w:rPr>
      </w:pPr>
    </w:p>
    <w:p w14:paraId="63CEA00F" w14:textId="400329BC" w:rsidR="00474CB0" w:rsidRPr="00AB7D3F" w:rsidRDefault="00474CB0" w:rsidP="001D16EC">
      <w:pPr>
        <w:pStyle w:val="a3"/>
        <w:numPr>
          <w:ilvl w:val="0"/>
          <w:numId w:val="15"/>
        </w:numPr>
        <w:spacing w:line="360" w:lineRule="auto"/>
        <w:ind w:leftChars="0"/>
        <w:rPr>
          <w:rFonts w:ascii="Times New Roman" w:hAnsi="Times New Roman" w:cs="Times New Roman"/>
          <w:b/>
          <w:bCs/>
          <w:sz w:val="24"/>
          <w:szCs w:val="24"/>
        </w:rPr>
      </w:pPr>
      <w:r w:rsidRPr="00AB7D3F">
        <w:rPr>
          <w:rFonts w:ascii="Times New Roman" w:hAnsi="Times New Roman" w:cs="Times New Roman"/>
          <w:b/>
          <w:bCs/>
          <w:sz w:val="24"/>
          <w:szCs w:val="24"/>
        </w:rPr>
        <w:t>Introduction</w:t>
      </w:r>
    </w:p>
    <w:p w14:paraId="3324735E" w14:textId="39971BD1" w:rsidR="005A2742" w:rsidRPr="005A2742" w:rsidRDefault="005A2742" w:rsidP="001D16EC">
      <w:pPr>
        <w:spacing w:line="360" w:lineRule="auto"/>
        <w:ind w:firstLine="720"/>
        <w:jc w:val="both"/>
        <w:rPr>
          <w:rFonts w:ascii="Times New Roman" w:hAnsi="Times New Roman" w:cs="Times New Roman"/>
          <w:sz w:val="24"/>
          <w:szCs w:val="24"/>
        </w:rPr>
      </w:pPr>
      <w:r w:rsidRPr="005A2742">
        <w:rPr>
          <w:rFonts w:ascii="Times New Roman" w:hAnsi="Times New Roman" w:cs="Times New Roman"/>
          <w:sz w:val="24"/>
          <w:szCs w:val="24"/>
        </w:rPr>
        <w:t xml:space="preserve">The Haber-Bosch process is </w:t>
      </w:r>
      <w:r w:rsidR="006F1A4A">
        <w:rPr>
          <w:rFonts w:ascii="Times New Roman" w:hAnsi="Times New Roman" w:cs="Times New Roman" w:hint="eastAsia"/>
          <w:sz w:val="24"/>
          <w:szCs w:val="24"/>
        </w:rPr>
        <w:t>an important</w:t>
      </w:r>
      <w:r w:rsidRPr="005A2742">
        <w:rPr>
          <w:rFonts w:ascii="Times New Roman" w:hAnsi="Times New Roman" w:cs="Times New Roman"/>
          <w:sz w:val="24"/>
          <w:szCs w:val="24"/>
        </w:rPr>
        <w:t xml:space="preserve"> industrial method for ammonia synthesis, utilizing the high-pressure catalytic reaction of nitrogen and hydrogen gases</w:t>
      </w:r>
      <w:r w:rsidR="00EC6F80">
        <w:rPr>
          <w:rFonts w:ascii="Times New Roman" w:hAnsi="Times New Roman" w:cs="Times New Roman"/>
          <w:sz w:val="24"/>
          <w:szCs w:val="24"/>
        </w:rPr>
        <w:fldChar w:fldCharType="begin"/>
      </w:r>
      <w:r w:rsidR="00EC6F80">
        <w:rPr>
          <w:rFonts w:ascii="Times New Roman" w:hAnsi="Times New Roman" w:cs="Times New Roman"/>
          <w:sz w:val="24"/>
          <w:szCs w:val="24"/>
        </w:rPr>
        <w:instrText xml:space="preserve"> ADDIN EN.CITE &lt;EndNote&gt;&lt;Cite&gt;&lt;Author&gt;Liu&lt;/Author&gt;&lt;Year&gt;2013&lt;/Year&gt;&lt;RecNum&gt;123&lt;/RecNum&gt;&lt;DisplayText&gt;&lt;style face="superscript"&gt;1&lt;/style&gt;&lt;/DisplayText&gt;&lt;record&gt;&lt;rec-number&gt;123&lt;/rec-number&gt;&lt;foreign-keys&gt;&lt;key app="EN" db-id="sfv0rttwkr0223ewzacxdaznsvpd9sztp2xv" timestamp="1731171961"&gt;123&lt;/key&gt;&lt;/foreign-keys&gt;&lt;ref-type name="Book"&gt;6&lt;/ref-type&gt;&lt;contributors&gt;&lt;authors&gt;&lt;author&gt;Liu, Huazhang&lt;/author&gt;&lt;/authors&gt;&lt;/contributors&gt;&lt;titles&gt;&lt;title&gt;Ammonia synthesis catalysts: innovation and practice&lt;/title&gt;&lt;/titles&gt;&lt;dates&gt;&lt;year&gt;2013&lt;/year&gt;&lt;/dates&gt;&lt;publisher&gt;World Scientific&lt;/publisher&gt;&lt;isbn&gt;981435578X&lt;/isbn&gt;&lt;urls&gt;&lt;/urls&gt;&lt;/record&gt;&lt;/Cite&gt;&lt;/EndNote&gt;</w:instrText>
      </w:r>
      <w:r w:rsidR="00EC6F80">
        <w:rPr>
          <w:rFonts w:ascii="Times New Roman" w:hAnsi="Times New Roman" w:cs="Times New Roman"/>
          <w:sz w:val="24"/>
          <w:szCs w:val="24"/>
        </w:rPr>
        <w:fldChar w:fldCharType="separate"/>
      </w:r>
      <w:r w:rsidR="00EC6F80" w:rsidRPr="00EC6F80">
        <w:rPr>
          <w:rFonts w:ascii="Times New Roman" w:hAnsi="Times New Roman" w:cs="Times New Roman"/>
          <w:noProof/>
          <w:sz w:val="24"/>
          <w:szCs w:val="24"/>
          <w:vertAlign w:val="superscript"/>
        </w:rPr>
        <w:t>1</w:t>
      </w:r>
      <w:r w:rsidR="00EC6F80">
        <w:rPr>
          <w:rFonts w:ascii="Times New Roman" w:hAnsi="Times New Roman" w:cs="Times New Roman"/>
          <w:sz w:val="24"/>
          <w:szCs w:val="24"/>
        </w:rPr>
        <w:fldChar w:fldCharType="end"/>
      </w:r>
      <w:r w:rsidRPr="005A2742">
        <w:rPr>
          <w:rFonts w:ascii="Times New Roman" w:hAnsi="Times New Roman" w:cs="Times New Roman"/>
          <w:sz w:val="24"/>
          <w:szCs w:val="24"/>
        </w:rPr>
        <w:t>. Central to optimizing this reaction is understanding the competitive adsorption behavior of nitrogen and hydrogen on the catalyst surface</w:t>
      </w:r>
      <w:r w:rsidR="00116A95">
        <w:rPr>
          <w:rFonts w:ascii="Times New Roman" w:hAnsi="Times New Roman" w:cs="Times New Roman"/>
          <w:sz w:val="24"/>
          <w:szCs w:val="24"/>
        </w:rPr>
        <w:fldChar w:fldCharType="begin"/>
      </w:r>
      <w:r w:rsidR="00116A95">
        <w:rPr>
          <w:rFonts w:ascii="Times New Roman" w:hAnsi="Times New Roman" w:cs="Times New Roman"/>
          <w:sz w:val="24"/>
          <w:szCs w:val="24"/>
        </w:rPr>
        <w:instrText xml:space="preserve"> ADDIN EN.CITE &lt;EndNote&gt;&lt;Cite&gt;&lt;Author&gt;Liu&lt;/Author&gt;&lt;Year&gt;2014&lt;/Year&gt;&lt;RecNum&gt;124&lt;/RecNum&gt;&lt;DisplayText&gt;&lt;style face="superscript"&gt;2&lt;/style&gt;&lt;/DisplayText&gt;&lt;record&gt;&lt;rec-number&gt;124&lt;/rec-number&gt;&lt;foreign-keys&gt;&lt;key app="EN" db-id="sfv0rttwkr0223ewzacxdaznsvpd9sztp2xv" timestamp="1731172893"&gt;124&lt;/key&gt;&lt;/foreign-keys&gt;&lt;ref-type name="Journal Article"&gt;17&lt;/ref-type&gt;&lt;contributors&gt;&lt;authors&gt;&lt;author&gt;Liu, H&lt;/author&gt;&lt;author&gt;Li, Y&lt;/author&gt;&lt;author&gt;Wu, H&lt;/author&gt;&lt;author&gt;Liu, J&lt;/author&gt;&lt;author&gt;He, D&lt;/author&gt;&lt;/authors&gt;&lt;/contributors&gt;&lt;titles&gt;&lt;title&gt;Cuihua Xuebao/Chinese J&lt;/title&gt;&lt;secondary-title&gt;Catal&lt;/secondary-title&gt;&lt;/titles&gt;&lt;periodical&gt;&lt;full-title&gt;Catal&lt;/full-title&gt;&lt;/periodical&gt;&lt;pages&gt;1619-1640&lt;/pages&gt;&lt;volume&gt;35&lt;/volume&gt;&lt;dates&gt;&lt;year&gt;2014&lt;/year&gt;&lt;/dates&gt;&lt;urls&gt;&lt;/urls&gt;&lt;/record&gt;&lt;/Cite&gt;&lt;/EndNote&gt;</w:instrText>
      </w:r>
      <w:r w:rsidR="00116A95">
        <w:rPr>
          <w:rFonts w:ascii="Times New Roman" w:hAnsi="Times New Roman" w:cs="Times New Roman"/>
          <w:sz w:val="24"/>
          <w:szCs w:val="24"/>
        </w:rPr>
        <w:fldChar w:fldCharType="separate"/>
      </w:r>
      <w:r w:rsidR="00116A95" w:rsidRPr="00116A95">
        <w:rPr>
          <w:rFonts w:ascii="Times New Roman" w:hAnsi="Times New Roman" w:cs="Times New Roman"/>
          <w:noProof/>
          <w:sz w:val="24"/>
          <w:szCs w:val="24"/>
          <w:vertAlign w:val="superscript"/>
        </w:rPr>
        <w:t>2</w:t>
      </w:r>
      <w:r w:rsidR="00116A95">
        <w:rPr>
          <w:rFonts w:ascii="Times New Roman" w:hAnsi="Times New Roman" w:cs="Times New Roman"/>
          <w:sz w:val="24"/>
          <w:szCs w:val="24"/>
        </w:rPr>
        <w:fldChar w:fldCharType="end"/>
      </w:r>
      <w:r w:rsidRPr="005A2742">
        <w:rPr>
          <w:rFonts w:ascii="Times New Roman" w:hAnsi="Times New Roman" w:cs="Times New Roman"/>
          <w:sz w:val="24"/>
          <w:szCs w:val="24"/>
        </w:rPr>
        <w:t xml:space="preserve">. Adsorption dynamics directly impact the rate and efficiency of ammonia formation, with nitrogen and hydrogen competing for active sites on the catalyst. This competitive behavior, influenced by chemical potentials and interatomic interactions, plays a </w:t>
      </w:r>
      <w:r w:rsidR="00193C57">
        <w:rPr>
          <w:rFonts w:ascii="Times New Roman" w:hAnsi="Times New Roman" w:cs="Times New Roman" w:hint="eastAsia"/>
          <w:sz w:val="24"/>
          <w:szCs w:val="24"/>
        </w:rPr>
        <w:t>significant</w:t>
      </w:r>
      <w:r w:rsidRPr="005A2742">
        <w:rPr>
          <w:rFonts w:ascii="Times New Roman" w:hAnsi="Times New Roman" w:cs="Times New Roman"/>
          <w:sz w:val="24"/>
          <w:szCs w:val="24"/>
        </w:rPr>
        <w:t xml:space="preserve"> role in determining the overall efficacy of the ammonia synthesis process.</w:t>
      </w:r>
    </w:p>
    <w:p w14:paraId="186AA60E" w14:textId="764F83D7" w:rsidR="005A2742" w:rsidRPr="005A2742" w:rsidRDefault="005A2742" w:rsidP="001D16EC">
      <w:pPr>
        <w:spacing w:line="360" w:lineRule="auto"/>
        <w:ind w:firstLine="720"/>
        <w:jc w:val="both"/>
        <w:rPr>
          <w:rFonts w:ascii="Times New Roman" w:hAnsi="Times New Roman" w:cs="Times New Roman"/>
          <w:sz w:val="24"/>
          <w:szCs w:val="24"/>
        </w:rPr>
      </w:pPr>
      <w:r w:rsidRPr="005A2742">
        <w:rPr>
          <w:rFonts w:ascii="Times New Roman" w:hAnsi="Times New Roman" w:cs="Times New Roman"/>
          <w:sz w:val="24"/>
          <w:szCs w:val="24"/>
        </w:rPr>
        <w:t xml:space="preserve">Catalytic surfaces </w:t>
      </w:r>
      <w:r w:rsidR="006A4B8A">
        <w:rPr>
          <w:rFonts w:ascii="Times New Roman" w:hAnsi="Times New Roman" w:cs="Times New Roman"/>
          <w:sz w:val="24"/>
          <w:szCs w:val="24"/>
        </w:rPr>
        <w:t>d</w:t>
      </w:r>
      <w:r w:rsidR="006A4B8A" w:rsidRPr="005A2742">
        <w:rPr>
          <w:rFonts w:ascii="Times New Roman" w:hAnsi="Times New Roman" w:cs="Times New Roman"/>
          <w:sz w:val="24"/>
          <w:szCs w:val="24"/>
        </w:rPr>
        <w:t>isplay</w:t>
      </w:r>
      <w:r w:rsidRPr="005A2742">
        <w:rPr>
          <w:rFonts w:ascii="Times New Roman" w:hAnsi="Times New Roman" w:cs="Times New Roman"/>
          <w:sz w:val="24"/>
          <w:szCs w:val="24"/>
        </w:rPr>
        <w:t xml:space="preserve"> a complex interaction landscape, where adsorption energies and interaction forces between adsorbates shape the coverage patterns and reactivity</w:t>
      </w:r>
      <w:r w:rsidR="00116A95">
        <w:rPr>
          <w:rFonts w:ascii="Times New Roman" w:hAnsi="Times New Roman" w:cs="Times New Roman"/>
          <w:sz w:val="24"/>
          <w:szCs w:val="24"/>
        </w:rPr>
        <w:fldChar w:fldCharType="begin"/>
      </w:r>
      <w:r w:rsidR="00116A95">
        <w:rPr>
          <w:rFonts w:ascii="Times New Roman" w:hAnsi="Times New Roman" w:cs="Times New Roman"/>
          <w:sz w:val="24"/>
          <w:szCs w:val="24"/>
        </w:rPr>
        <w:instrText xml:space="preserve"> ADDIN EN.CITE &lt;EndNote&gt;&lt;Cite&gt;&lt;Author&gt;Liu&lt;/Author&gt;&lt;Year&gt;2014&lt;/Year&gt;&lt;RecNum&gt;125&lt;/RecNum&gt;&lt;DisplayText&gt;&lt;style face="superscript"&gt;3&lt;/style&gt;&lt;/DisplayText&gt;&lt;record&gt;&lt;rec-number&gt;125&lt;/rec-number&gt;&lt;foreign-keys&gt;&lt;key app="EN" db-id="sfv0rttwkr0223ewzacxdaznsvpd9sztp2xv" timestamp="1731173558"&gt;125&lt;/key&gt;&lt;/foreign-keys&gt;&lt;ref-type name="Journal Article"&gt;17&lt;/ref-type&gt;&lt;contributors&gt;&lt;authors&gt;&lt;author&gt;Liu, Huazhang&lt;/author&gt;&lt;/authors&gt;&lt;/contributors&gt;&lt;titles&gt;&lt;title&gt;Ammonia synthesis catalyst 100 years: Practice, enlightenment and challenge&lt;/title&gt;&lt;secondary-title&gt;Chinese journal of catalysis&lt;/secondary-title&gt;&lt;/titles&gt;&lt;periodical&gt;&lt;full-title&gt;Chinese journal of catalysis&lt;/full-title&gt;&lt;/periodical&gt;&lt;pages&gt;1619-1640&lt;/pages&gt;&lt;volume&gt;35&lt;/volume&gt;&lt;number&gt;10&lt;/number&gt;&lt;dates&gt;&lt;year&gt;2014&lt;/year&gt;&lt;/dates&gt;&lt;isbn&gt;1872-2067&lt;/isbn&gt;&lt;urls&gt;&lt;/urls&gt;&lt;/record&gt;&lt;/Cite&gt;&lt;/EndNote&gt;</w:instrText>
      </w:r>
      <w:r w:rsidR="00116A95">
        <w:rPr>
          <w:rFonts w:ascii="Times New Roman" w:hAnsi="Times New Roman" w:cs="Times New Roman"/>
          <w:sz w:val="24"/>
          <w:szCs w:val="24"/>
        </w:rPr>
        <w:fldChar w:fldCharType="separate"/>
      </w:r>
      <w:r w:rsidR="00116A95" w:rsidRPr="00116A95">
        <w:rPr>
          <w:rFonts w:ascii="Times New Roman" w:hAnsi="Times New Roman" w:cs="Times New Roman"/>
          <w:noProof/>
          <w:sz w:val="24"/>
          <w:szCs w:val="24"/>
          <w:vertAlign w:val="superscript"/>
        </w:rPr>
        <w:t>3</w:t>
      </w:r>
      <w:r w:rsidR="00116A95">
        <w:rPr>
          <w:rFonts w:ascii="Times New Roman" w:hAnsi="Times New Roman" w:cs="Times New Roman"/>
          <w:sz w:val="24"/>
          <w:szCs w:val="24"/>
        </w:rPr>
        <w:fldChar w:fldCharType="end"/>
      </w:r>
      <w:r w:rsidRPr="005A2742">
        <w:rPr>
          <w:rFonts w:ascii="Times New Roman" w:hAnsi="Times New Roman" w:cs="Times New Roman"/>
          <w:sz w:val="24"/>
          <w:szCs w:val="24"/>
        </w:rPr>
        <w:t>. To optimize the conditions for ammonia synthesis, it is essential to systematically study the adsorption and interaction behavior of nitrogen and hydrogen under various conditions</w:t>
      </w:r>
      <w:r w:rsidR="00700818">
        <w:rPr>
          <w:rFonts w:ascii="Times New Roman" w:hAnsi="Times New Roman" w:cs="Times New Roman" w:hint="eastAsia"/>
          <w:sz w:val="24"/>
          <w:szCs w:val="24"/>
        </w:rPr>
        <w:t xml:space="preserve"> including temperature and pressure</w:t>
      </w:r>
      <w:r w:rsidR="00700818">
        <w:rPr>
          <w:rFonts w:ascii="Times New Roman" w:hAnsi="Times New Roman" w:cs="Times New Roman"/>
          <w:sz w:val="24"/>
          <w:szCs w:val="24"/>
        </w:rPr>
        <w:fldChar w:fldCharType="begin"/>
      </w:r>
      <w:r w:rsidR="00700818">
        <w:rPr>
          <w:rFonts w:ascii="Times New Roman" w:hAnsi="Times New Roman" w:cs="Times New Roman"/>
          <w:sz w:val="24"/>
          <w:szCs w:val="24"/>
        </w:rPr>
        <w:instrText xml:space="preserve"> ADDIN EN.CITE &lt;EndNote&gt;&lt;Cite&gt;&lt;Author&gt;Elvers&lt;/Author&gt;&lt;Year&gt;1991&lt;/Year&gt;&lt;RecNum&gt;126&lt;/RecNum&gt;&lt;DisplayText&gt;&lt;style face="superscript"&gt;4&lt;/style&gt;&lt;/DisplayText&gt;&lt;record&gt;&lt;rec-number&gt;126&lt;/rec-number&gt;&lt;foreign-keys&gt;&lt;key app="EN" db-id="sfv0rttwkr0223ewzacxdaznsvpd9sztp2xv" timestamp="1731173747"&gt;126&lt;/key&gt;&lt;/foreign-keys&gt;&lt;ref-type name="Book"&gt;6&lt;/ref-type&gt;&lt;contributors&gt;&lt;authors&gt;&lt;author&gt;Elvers, Barbara&lt;/author&gt;&lt;/authors&gt;&lt;/contributors&gt;&lt;titles&gt;&lt;title&gt;Ullmann&amp;apos;s encyclopedia of industrial chemistry&lt;/title&gt;&lt;/titles&gt;&lt;volume&gt;17&lt;/volume&gt;&lt;dates&gt;&lt;year&gt;1991&lt;/year&gt;&lt;/dates&gt;&lt;publisher&gt;Verlag Chemie Hoboken, NJ&lt;/publisher&gt;&lt;urls&gt;&lt;/urls&gt;&lt;/record&gt;&lt;/Cite&gt;&lt;/EndNote&gt;</w:instrText>
      </w:r>
      <w:r w:rsidR="00700818">
        <w:rPr>
          <w:rFonts w:ascii="Times New Roman" w:hAnsi="Times New Roman" w:cs="Times New Roman"/>
          <w:sz w:val="24"/>
          <w:szCs w:val="24"/>
        </w:rPr>
        <w:fldChar w:fldCharType="separate"/>
      </w:r>
      <w:r w:rsidR="00700818" w:rsidRPr="00700818">
        <w:rPr>
          <w:rFonts w:ascii="Times New Roman" w:hAnsi="Times New Roman" w:cs="Times New Roman"/>
          <w:noProof/>
          <w:sz w:val="24"/>
          <w:szCs w:val="24"/>
          <w:vertAlign w:val="superscript"/>
        </w:rPr>
        <w:t>4</w:t>
      </w:r>
      <w:r w:rsidR="00700818">
        <w:rPr>
          <w:rFonts w:ascii="Times New Roman" w:hAnsi="Times New Roman" w:cs="Times New Roman"/>
          <w:sz w:val="24"/>
          <w:szCs w:val="24"/>
        </w:rPr>
        <w:fldChar w:fldCharType="end"/>
      </w:r>
      <w:r w:rsidR="00700818">
        <w:rPr>
          <w:rFonts w:ascii="Times New Roman" w:hAnsi="Times New Roman" w:cs="Times New Roman" w:hint="eastAsia"/>
          <w:sz w:val="24"/>
          <w:szCs w:val="24"/>
        </w:rPr>
        <w:t xml:space="preserve">. In addition, </w:t>
      </w:r>
      <w:r w:rsidRPr="005A2742">
        <w:rPr>
          <w:rFonts w:ascii="Times New Roman" w:hAnsi="Times New Roman" w:cs="Times New Roman"/>
          <w:sz w:val="24"/>
          <w:szCs w:val="24"/>
        </w:rPr>
        <w:t xml:space="preserve">examining how adsorption behaviors </w:t>
      </w:r>
      <w:r w:rsidR="0055216E">
        <w:rPr>
          <w:rFonts w:ascii="Times New Roman" w:hAnsi="Times New Roman" w:cs="Times New Roman"/>
          <w:sz w:val="24"/>
          <w:szCs w:val="24"/>
        </w:rPr>
        <w:t>change</w:t>
      </w:r>
      <w:r w:rsidRPr="005A2742">
        <w:rPr>
          <w:rFonts w:ascii="Times New Roman" w:hAnsi="Times New Roman" w:cs="Times New Roman"/>
          <w:sz w:val="24"/>
          <w:szCs w:val="24"/>
        </w:rPr>
        <w:t xml:space="preserve"> with variations in chemical potential and interaction energies </w:t>
      </w:r>
      <w:r w:rsidR="00700818">
        <w:rPr>
          <w:rFonts w:ascii="Times New Roman" w:hAnsi="Times New Roman" w:cs="Times New Roman" w:hint="eastAsia"/>
          <w:sz w:val="24"/>
          <w:szCs w:val="24"/>
        </w:rPr>
        <w:t>can</w:t>
      </w:r>
      <w:r w:rsidRPr="005A2742">
        <w:rPr>
          <w:rFonts w:ascii="Times New Roman" w:hAnsi="Times New Roman" w:cs="Times New Roman"/>
          <w:sz w:val="24"/>
          <w:szCs w:val="24"/>
        </w:rPr>
        <w:t xml:space="preserve"> reveal critical insights into maximizing surface availability for ammonia production. </w:t>
      </w:r>
    </w:p>
    <w:p w14:paraId="6850873A" w14:textId="3BB62455" w:rsidR="005A2742" w:rsidRPr="005A2742" w:rsidRDefault="0006508E" w:rsidP="001D16EC">
      <w:pPr>
        <w:spacing w:line="360" w:lineRule="auto"/>
        <w:ind w:firstLine="720"/>
        <w:jc w:val="both"/>
        <w:rPr>
          <w:rFonts w:ascii="Times New Roman" w:hAnsi="Times New Roman" w:cs="Times New Roman"/>
          <w:sz w:val="24"/>
          <w:szCs w:val="24"/>
        </w:rPr>
      </w:pPr>
      <w:r>
        <w:rPr>
          <w:rFonts w:ascii="Times New Roman" w:hAnsi="Times New Roman" w:cs="Times New Roman" w:hint="eastAsia"/>
          <w:sz w:val="24"/>
          <w:szCs w:val="24"/>
        </w:rPr>
        <w:t>Therefore, i</w:t>
      </w:r>
      <w:r w:rsidR="005A2742" w:rsidRPr="005A2742">
        <w:rPr>
          <w:rFonts w:ascii="Times New Roman" w:hAnsi="Times New Roman" w:cs="Times New Roman"/>
          <w:sz w:val="24"/>
          <w:szCs w:val="24"/>
        </w:rPr>
        <w:t xml:space="preserve">n this </w:t>
      </w:r>
      <w:r w:rsidR="00542400">
        <w:rPr>
          <w:rFonts w:ascii="Times New Roman" w:hAnsi="Times New Roman" w:cs="Times New Roman" w:hint="eastAsia"/>
          <w:sz w:val="24"/>
          <w:szCs w:val="24"/>
        </w:rPr>
        <w:t>report</w:t>
      </w:r>
      <w:r w:rsidR="005A2742" w:rsidRPr="005A2742">
        <w:rPr>
          <w:rFonts w:ascii="Times New Roman" w:hAnsi="Times New Roman" w:cs="Times New Roman"/>
          <w:sz w:val="24"/>
          <w:szCs w:val="24"/>
        </w:rPr>
        <w:t>, we employ</w:t>
      </w:r>
      <w:r>
        <w:rPr>
          <w:rFonts w:ascii="Times New Roman" w:hAnsi="Times New Roman" w:cs="Times New Roman" w:hint="eastAsia"/>
          <w:sz w:val="24"/>
          <w:szCs w:val="24"/>
        </w:rPr>
        <w:t>ed</w:t>
      </w:r>
      <w:r w:rsidR="005A2742" w:rsidRPr="005A2742">
        <w:rPr>
          <w:rFonts w:ascii="Times New Roman" w:hAnsi="Times New Roman" w:cs="Times New Roman"/>
          <w:sz w:val="24"/>
          <w:szCs w:val="24"/>
        </w:rPr>
        <w:t xml:space="preserve"> a grand canonical Monte Carlo (GCMC) simulation to model the competitive adsorption of nitrogen and hydrogen on a 2D square lattice, mimicking the catalyst surface in a controlled and systematic manner. We </w:t>
      </w:r>
      <w:r w:rsidR="00DA0656">
        <w:rPr>
          <w:rFonts w:ascii="Times New Roman" w:hAnsi="Times New Roman" w:cs="Times New Roman" w:hint="eastAsia"/>
          <w:sz w:val="24"/>
          <w:szCs w:val="24"/>
        </w:rPr>
        <w:t>changed</w:t>
      </w:r>
      <w:r w:rsidR="005A2742" w:rsidRPr="005A2742">
        <w:rPr>
          <w:rFonts w:ascii="Times New Roman" w:hAnsi="Times New Roman" w:cs="Times New Roman"/>
          <w:sz w:val="24"/>
          <w:szCs w:val="24"/>
        </w:rPr>
        <w:t xml:space="preserve"> the chemical potential of hydrogen, keeping nitrogen in excess, to investigate a range of chemical environments. A series of parameter sets is tested, representing ideal mixing, repulsive interactions, attractive interactions, immiscibility, and a scenario where "like dissolves unlike." By exploring these interaction </w:t>
      </w:r>
      <w:r w:rsidR="009303A7">
        <w:rPr>
          <w:rFonts w:ascii="Times New Roman" w:hAnsi="Times New Roman" w:cs="Times New Roman" w:hint="eastAsia"/>
          <w:sz w:val="24"/>
          <w:szCs w:val="24"/>
        </w:rPr>
        <w:t>conditions</w:t>
      </w:r>
      <w:r w:rsidR="005A2742" w:rsidRPr="005A2742">
        <w:rPr>
          <w:rFonts w:ascii="Times New Roman" w:hAnsi="Times New Roman" w:cs="Times New Roman"/>
          <w:sz w:val="24"/>
          <w:szCs w:val="24"/>
        </w:rPr>
        <w:t>, we aim</w:t>
      </w:r>
      <w:r w:rsidR="00F549EE">
        <w:rPr>
          <w:rFonts w:ascii="Times New Roman" w:hAnsi="Times New Roman" w:cs="Times New Roman" w:hint="eastAsia"/>
          <w:sz w:val="24"/>
          <w:szCs w:val="24"/>
        </w:rPr>
        <w:t>ed</w:t>
      </w:r>
      <w:r w:rsidR="005A2742" w:rsidRPr="005A2742">
        <w:rPr>
          <w:rFonts w:ascii="Times New Roman" w:hAnsi="Times New Roman" w:cs="Times New Roman"/>
          <w:sz w:val="24"/>
          <w:szCs w:val="24"/>
        </w:rPr>
        <w:t xml:space="preserve"> to elucidate how the </w:t>
      </w:r>
      <w:r w:rsidR="00163922">
        <w:rPr>
          <w:rFonts w:ascii="Times New Roman" w:hAnsi="Times New Roman" w:cs="Times New Roman" w:hint="eastAsia"/>
          <w:sz w:val="24"/>
          <w:szCs w:val="24"/>
        </w:rPr>
        <w:t>property</w:t>
      </w:r>
      <w:r w:rsidR="005A2742" w:rsidRPr="005A2742">
        <w:rPr>
          <w:rFonts w:ascii="Times New Roman" w:hAnsi="Times New Roman" w:cs="Times New Roman"/>
          <w:sz w:val="24"/>
          <w:szCs w:val="24"/>
        </w:rPr>
        <w:t xml:space="preserve"> of adsorbate interactions impacts coverage </w:t>
      </w:r>
      <w:r w:rsidR="005A2742" w:rsidRPr="005A2742">
        <w:rPr>
          <w:rFonts w:ascii="Times New Roman" w:hAnsi="Times New Roman" w:cs="Times New Roman"/>
          <w:sz w:val="24"/>
          <w:szCs w:val="24"/>
        </w:rPr>
        <w:lastRenderedPageBreak/>
        <w:t>patterns</w:t>
      </w:r>
      <w:r w:rsidR="00F549EE">
        <w:rPr>
          <w:rFonts w:ascii="Times New Roman" w:hAnsi="Times New Roman" w:cs="Times New Roman" w:hint="eastAsia"/>
          <w:sz w:val="24"/>
          <w:szCs w:val="24"/>
        </w:rPr>
        <w:t xml:space="preserve">. Based on the </w:t>
      </w:r>
      <w:r w:rsidR="008B76D9">
        <w:rPr>
          <w:rFonts w:ascii="Times New Roman" w:hAnsi="Times New Roman" w:cs="Times New Roman"/>
          <w:sz w:val="24"/>
          <w:szCs w:val="24"/>
        </w:rPr>
        <w:t>results</w:t>
      </w:r>
      <w:r w:rsidR="008B76D9" w:rsidRPr="005A2742">
        <w:rPr>
          <w:rFonts w:ascii="Times New Roman" w:hAnsi="Times New Roman" w:cs="Times New Roman"/>
          <w:sz w:val="24"/>
          <w:szCs w:val="24"/>
        </w:rPr>
        <w:t xml:space="preserve">, </w:t>
      </w:r>
      <w:r w:rsidR="008B76D9">
        <w:rPr>
          <w:rFonts w:ascii="Times New Roman" w:hAnsi="Times New Roman" w:cs="Times New Roman"/>
          <w:sz w:val="24"/>
          <w:szCs w:val="24"/>
        </w:rPr>
        <w:t>we</w:t>
      </w:r>
      <w:r w:rsidR="00F549EE">
        <w:rPr>
          <w:rFonts w:ascii="Times New Roman" w:hAnsi="Times New Roman" w:cs="Times New Roman" w:hint="eastAsia"/>
          <w:sz w:val="24"/>
          <w:szCs w:val="24"/>
        </w:rPr>
        <w:t xml:space="preserve"> assumed the </w:t>
      </w:r>
      <w:r w:rsidR="005A2742" w:rsidRPr="005A2742">
        <w:rPr>
          <w:rFonts w:ascii="Times New Roman" w:hAnsi="Times New Roman" w:cs="Times New Roman"/>
          <w:sz w:val="24"/>
          <w:szCs w:val="24"/>
        </w:rPr>
        <w:t>ammonia synthesis efficiency</w:t>
      </w:r>
      <w:r w:rsidR="007A5E62">
        <w:rPr>
          <w:rFonts w:ascii="Times New Roman" w:hAnsi="Times New Roman" w:cs="Times New Roman"/>
          <w:sz w:val="24"/>
          <w:szCs w:val="24"/>
        </w:rPr>
        <w:t xml:space="preserve"> through</w:t>
      </w:r>
      <w:r w:rsidR="005A2742" w:rsidRPr="005A2742">
        <w:rPr>
          <w:rFonts w:ascii="Times New Roman" w:hAnsi="Times New Roman" w:cs="Times New Roman"/>
          <w:sz w:val="24"/>
          <w:szCs w:val="24"/>
        </w:rPr>
        <w:t xml:space="preserve"> construct</w:t>
      </w:r>
      <w:r w:rsidR="007A5E62">
        <w:rPr>
          <w:rFonts w:ascii="Times New Roman" w:hAnsi="Times New Roman" w:cs="Times New Roman"/>
          <w:sz w:val="24"/>
          <w:szCs w:val="24"/>
        </w:rPr>
        <w:t>ing</w:t>
      </w:r>
      <w:r w:rsidR="005A2742" w:rsidRPr="005A2742">
        <w:rPr>
          <w:rFonts w:ascii="Times New Roman" w:hAnsi="Times New Roman" w:cs="Times New Roman"/>
          <w:sz w:val="24"/>
          <w:szCs w:val="24"/>
        </w:rPr>
        <w:t xml:space="preserve"> phase diagrams that highlight the coverage states of nitrogen and hydrogen under each interaction scenario. We further interpret the lattice configurations to discuss how competitive adsorption behaviors influence catalyst performance and ammonia synthesis rates. </w:t>
      </w:r>
      <w:r w:rsidR="008C7AF4">
        <w:rPr>
          <w:rFonts w:ascii="Times New Roman" w:hAnsi="Times New Roman" w:cs="Times New Roman"/>
          <w:sz w:val="24"/>
          <w:szCs w:val="24"/>
        </w:rPr>
        <w:t>These findings</w:t>
      </w:r>
      <w:r w:rsidR="005A2742" w:rsidRPr="005A2742">
        <w:rPr>
          <w:rFonts w:ascii="Times New Roman" w:hAnsi="Times New Roman" w:cs="Times New Roman"/>
          <w:sz w:val="24"/>
          <w:szCs w:val="24"/>
        </w:rPr>
        <w:t xml:space="preserve"> </w:t>
      </w:r>
      <w:r w:rsidR="00C1347F">
        <w:rPr>
          <w:rFonts w:ascii="Times New Roman" w:hAnsi="Times New Roman" w:cs="Times New Roman"/>
          <w:sz w:val="24"/>
          <w:szCs w:val="24"/>
        </w:rPr>
        <w:t>provide</w:t>
      </w:r>
      <w:r w:rsidR="005A2742" w:rsidRPr="005A2742">
        <w:rPr>
          <w:rFonts w:ascii="Times New Roman" w:hAnsi="Times New Roman" w:cs="Times New Roman"/>
          <w:sz w:val="24"/>
          <w:szCs w:val="24"/>
        </w:rPr>
        <w:t xml:space="preserve"> practical insights for adjusting reaction conditions to favor optimal coverage, ultimately informing strategies to enhance the efficiency of the Haber-Bosch process. </w:t>
      </w:r>
    </w:p>
    <w:p w14:paraId="7715B882" w14:textId="2BB107DD" w:rsidR="00474CB0" w:rsidRPr="008143DA" w:rsidRDefault="00474CB0" w:rsidP="001D16EC">
      <w:pPr>
        <w:pStyle w:val="a3"/>
        <w:numPr>
          <w:ilvl w:val="0"/>
          <w:numId w:val="15"/>
        </w:numPr>
        <w:spacing w:line="360" w:lineRule="auto"/>
        <w:ind w:leftChars="0"/>
        <w:rPr>
          <w:rFonts w:ascii="Times New Roman" w:hAnsi="Times New Roman" w:cs="Times New Roman"/>
          <w:b/>
          <w:bCs/>
          <w:sz w:val="24"/>
          <w:szCs w:val="24"/>
        </w:rPr>
      </w:pPr>
      <w:r w:rsidRPr="008143DA">
        <w:rPr>
          <w:rFonts w:ascii="Times New Roman" w:hAnsi="Times New Roman" w:cs="Times New Roman"/>
          <w:b/>
          <w:bCs/>
          <w:sz w:val="24"/>
          <w:szCs w:val="24"/>
        </w:rPr>
        <w:t>Methodology</w:t>
      </w:r>
    </w:p>
    <w:p w14:paraId="252AC0FC" w14:textId="1CE258B9" w:rsidR="00EF1068" w:rsidRDefault="00F54ED6" w:rsidP="001D16EC">
      <w:pPr>
        <w:pStyle w:val="a4"/>
        <w:spacing w:line="360" w:lineRule="auto"/>
        <w:ind w:firstLine="720"/>
        <w:jc w:val="both"/>
        <w:rPr>
          <w:rFonts w:eastAsiaTheme="minorEastAsia"/>
          <w:kern w:val="2"/>
          <w14:ligatures w14:val="standardContextual"/>
        </w:rPr>
      </w:pPr>
      <w:r w:rsidRPr="00F54ED6">
        <w:rPr>
          <w:rFonts w:eastAsiaTheme="minorEastAsia"/>
          <w:kern w:val="2"/>
          <w14:ligatures w14:val="standardContextual"/>
        </w:rPr>
        <w:t>W</w:t>
      </w:r>
      <w:r w:rsidR="001D3D75" w:rsidRPr="00F54ED6">
        <w:rPr>
          <w:rFonts w:eastAsiaTheme="minorEastAsia"/>
          <w:kern w:val="2"/>
          <w14:ligatures w14:val="standardContextual"/>
        </w:rPr>
        <w:t xml:space="preserve">e modeled the competitive adsorption behavior of nitrogen and hydrogen on a two-dimensional lattice to simulate different interaction conditions relevant to the ammonia synthesis process. </w:t>
      </w:r>
      <w:r w:rsidR="00ED3CF2" w:rsidRPr="00F54ED6">
        <w:rPr>
          <w:rFonts w:eastAsiaTheme="minorEastAsia"/>
          <w:kern w:val="2"/>
          <w14:ligatures w14:val="standardContextual"/>
        </w:rPr>
        <w:t xml:space="preserve">To examine diverse adsorption behaviors, we investigated five interaction scenarios. </w:t>
      </w:r>
      <w:r w:rsidR="00825B97">
        <w:rPr>
          <w:rFonts w:eastAsiaTheme="minorEastAsia" w:hint="eastAsia"/>
          <w:kern w:val="2"/>
          <w14:ligatures w14:val="standardContextual"/>
        </w:rPr>
        <w:t>Specifically, t</w:t>
      </w:r>
      <w:r w:rsidR="00ED3CF2" w:rsidRPr="00F54ED6">
        <w:rPr>
          <w:rFonts w:eastAsiaTheme="minorEastAsia"/>
          <w:kern w:val="2"/>
          <w14:ligatures w14:val="standardContextual"/>
        </w:rPr>
        <w:t>he ideal mixture scenario modeled nitrogen and hydrogen as non-interacting particles, serving as a baseline for comparison. The repulsive interactions scenario introduced an energetic penalty when adjacent particles were of the same type, thereby discouraging clustering. For attractive interactions, the configuration was set to favor aggregation, encouraging clusters of like particles. In the immiscible scenario, phase separation was promoted, resulting in distinct domains of nitrogen and hydrogen on the lattice. Finally, the “like dissolves unlike” condition represented selective adsorption, with differential affinities between nitrogen and hydrogen to mimic heterogeneous adsorption tendencies.</w:t>
      </w:r>
      <w:r w:rsidR="00ED3CF2">
        <w:rPr>
          <w:rFonts w:eastAsiaTheme="minorEastAsia"/>
          <w:kern w:val="2"/>
          <w14:ligatures w14:val="standardContextual"/>
        </w:rPr>
        <w:t xml:space="preserve"> The detailed values of parameters are shown in </w:t>
      </w:r>
      <w:r w:rsidR="00ED3CF2" w:rsidRPr="00ED3CF2">
        <w:rPr>
          <w:rFonts w:eastAsiaTheme="minorEastAsia"/>
          <w:b/>
          <w:bCs/>
          <w:kern w:val="2"/>
          <w14:ligatures w14:val="standardContextual"/>
        </w:rPr>
        <w:t>Table 1</w:t>
      </w:r>
      <w:r w:rsidR="00ED3CF2">
        <w:rPr>
          <w:rFonts w:eastAsiaTheme="minorEastAsia"/>
          <w:kern w:val="2"/>
          <w14:ligatures w14:val="standardContextual"/>
        </w:rPr>
        <w:t>.</w:t>
      </w:r>
    </w:p>
    <w:p w14:paraId="4ACCC78C" w14:textId="3A7FED15" w:rsidR="00CF6A51" w:rsidRDefault="00CF6A51" w:rsidP="00CF6A51">
      <w:pPr>
        <w:pStyle w:val="a4"/>
        <w:spacing w:line="360" w:lineRule="auto"/>
        <w:rPr>
          <w:rFonts w:eastAsiaTheme="minorEastAsia"/>
          <w:kern w:val="2"/>
          <w14:ligatures w14:val="standardContextual"/>
        </w:rPr>
      </w:pPr>
      <w:r w:rsidRPr="00CF6A51">
        <w:rPr>
          <w:rFonts w:eastAsiaTheme="minorEastAsia" w:hint="eastAsia"/>
          <w:b/>
          <w:bCs/>
          <w:kern w:val="2"/>
          <w14:ligatures w14:val="standardContextual"/>
        </w:rPr>
        <w:t>Table 1</w:t>
      </w:r>
      <w:r>
        <w:rPr>
          <w:rFonts w:eastAsiaTheme="minorEastAsia" w:hint="eastAsia"/>
          <w:kern w:val="2"/>
          <w14:ligatures w14:val="standardContextual"/>
        </w:rPr>
        <w:t>. Five interaction scenarios for investigating competitive adsorption</w:t>
      </w:r>
    </w:p>
    <w:tbl>
      <w:tblPr>
        <w:tblStyle w:val="5"/>
        <w:tblW w:w="0" w:type="auto"/>
        <w:tblLook w:val="04A0" w:firstRow="1" w:lastRow="0" w:firstColumn="1" w:lastColumn="0" w:noHBand="0" w:noVBand="1"/>
      </w:tblPr>
      <w:tblGrid>
        <w:gridCol w:w="3671"/>
        <w:gridCol w:w="1135"/>
        <w:gridCol w:w="1136"/>
        <w:gridCol w:w="1136"/>
        <w:gridCol w:w="1136"/>
        <w:gridCol w:w="1136"/>
      </w:tblGrid>
      <w:tr w:rsidR="001D3C8F" w14:paraId="0590B347" w14:textId="77777777" w:rsidTr="001D3C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71" w:type="dxa"/>
          </w:tcPr>
          <w:p w14:paraId="2897B51B" w14:textId="7715B50D" w:rsidR="001D3C8F" w:rsidRPr="009F3E81" w:rsidRDefault="001D3C8F" w:rsidP="00182C96">
            <w:pPr>
              <w:pStyle w:val="a4"/>
              <w:spacing w:line="360" w:lineRule="auto"/>
              <w:jc w:val="center"/>
              <w:rPr>
                <w:rFonts w:eastAsiaTheme="minorEastAsia"/>
                <w:b/>
                <w:bCs/>
                <w:i w:val="0"/>
                <w:iCs w:val="0"/>
                <w:kern w:val="2"/>
                <w:sz w:val="21"/>
                <w:szCs w:val="21"/>
                <w14:ligatures w14:val="standardContextual"/>
              </w:rPr>
            </w:pPr>
            <w:r w:rsidRPr="009F3E81">
              <w:rPr>
                <w:rFonts w:eastAsiaTheme="minorEastAsia"/>
                <w:b/>
                <w:bCs/>
                <w:i w:val="0"/>
                <w:iCs w:val="0"/>
                <w:kern w:val="2"/>
                <w:sz w:val="21"/>
                <w:szCs w:val="21"/>
                <w14:ligatures w14:val="standardContextual"/>
              </w:rPr>
              <w:t>Cases</w:t>
            </w:r>
          </w:p>
        </w:tc>
        <w:tc>
          <w:tcPr>
            <w:tcW w:w="1135" w:type="dxa"/>
          </w:tcPr>
          <w:p w14:paraId="5F0BA55F" w14:textId="45B10535" w:rsidR="001D3C8F" w:rsidRPr="009F3E81" w:rsidRDefault="00000000" w:rsidP="00182C96">
            <w:pPr>
              <w:pStyle w:val="a4"/>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bCs/>
                <w:i w:val="0"/>
                <w:iCs w:val="0"/>
                <w:kern w:val="2"/>
                <w:sz w:val="21"/>
                <w:szCs w:val="21"/>
                <w14:ligatures w14:val="standardContextual"/>
              </w:rPr>
            </w:pPr>
            <m:oMathPara>
              <m:oMath>
                <m:sSub>
                  <m:sSubPr>
                    <m:ctrlPr>
                      <w:rPr>
                        <w:rFonts w:ascii="Cambria Math" w:eastAsiaTheme="minorEastAsia" w:hAnsi="Cambria Math"/>
                        <w:b/>
                        <w:bCs/>
                        <w:i w:val="0"/>
                        <w:iCs w:val="0"/>
                        <w:kern w:val="2"/>
                        <w:sz w:val="21"/>
                        <w:szCs w:val="21"/>
                        <w14:ligatures w14:val="standardContextual"/>
                      </w:rPr>
                    </m:ctrlPr>
                  </m:sSubPr>
                  <m:e>
                    <m:r>
                      <m:rPr>
                        <m:sty m:val="bi"/>
                      </m:rPr>
                      <w:rPr>
                        <w:rFonts w:ascii="Cambria Math" w:eastAsiaTheme="minorEastAsia" w:hAnsi="Cambria Math"/>
                        <w:kern w:val="2"/>
                        <w:sz w:val="21"/>
                        <w:szCs w:val="21"/>
                        <w14:ligatures w14:val="standardContextual"/>
                      </w:rPr>
                      <m:t>ϵ</m:t>
                    </m:r>
                  </m:e>
                  <m:sub>
                    <m:r>
                      <m:rPr>
                        <m:sty m:val="bi"/>
                      </m:rPr>
                      <w:rPr>
                        <w:rFonts w:ascii="Cambria Math" w:eastAsiaTheme="minorEastAsia" w:hAnsi="Cambria Math"/>
                        <w:kern w:val="2"/>
                        <w:sz w:val="21"/>
                        <w:szCs w:val="21"/>
                        <w14:ligatures w14:val="standardContextual"/>
                      </w:rPr>
                      <m:t>N</m:t>
                    </m:r>
                  </m:sub>
                </m:sSub>
              </m:oMath>
            </m:oMathPara>
          </w:p>
        </w:tc>
        <w:tc>
          <w:tcPr>
            <w:tcW w:w="1136" w:type="dxa"/>
          </w:tcPr>
          <w:p w14:paraId="5CD4222C" w14:textId="2F57C4D8" w:rsidR="001D3C8F" w:rsidRPr="009F3E81" w:rsidRDefault="00000000" w:rsidP="00182C96">
            <w:pPr>
              <w:pStyle w:val="a4"/>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bCs/>
                <w:i w:val="0"/>
                <w:iCs w:val="0"/>
                <w:kern w:val="2"/>
                <w:sz w:val="21"/>
                <w:szCs w:val="21"/>
                <w14:ligatures w14:val="standardContextual"/>
              </w:rPr>
            </w:pPr>
            <m:oMathPara>
              <m:oMath>
                <m:sSub>
                  <m:sSubPr>
                    <m:ctrlPr>
                      <w:rPr>
                        <w:rFonts w:ascii="Cambria Math" w:eastAsiaTheme="minorEastAsia" w:hAnsi="Cambria Math"/>
                        <w:b/>
                        <w:bCs/>
                        <w:i w:val="0"/>
                        <w:iCs w:val="0"/>
                        <w:kern w:val="2"/>
                        <w:sz w:val="21"/>
                        <w:szCs w:val="21"/>
                        <w14:ligatures w14:val="standardContextual"/>
                      </w:rPr>
                    </m:ctrlPr>
                  </m:sSubPr>
                  <m:e>
                    <m:r>
                      <m:rPr>
                        <m:sty m:val="bi"/>
                      </m:rPr>
                      <w:rPr>
                        <w:rFonts w:ascii="Cambria Math" w:eastAsiaTheme="minorEastAsia" w:hAnsi="Cambria Math"/>
                        <w:kern w:val="2"/>
                        <w:sz w:val="21"/>
                        <w:szCs w:val="21"/>
                        <w14:ligatures w14:val="standardContextual"/>
                      </w:rPr>
                      <m:t>ϵ</m:t>
                    </m:r>
                  </m:e>
                  <m:sub>
                    <m:r>
                      <m:rPr>
                        <m:sty m:val="bi"/>
                      </m:rPr>
                      <w:rPr>
                        <w:rFonts w:ascii="Cambria Math" w:eastAsiaTheme="minorEastAsia" w:hAnsi="Cambria Math"/>
                        <w:kern w:val="2"/>
                        <w:sz w:val="21"/>
                        <w:szCs w:val="21"/>
                        <w14:ligatures w14:val="standardContextual"/>
                      </w:rPr>
                      <m:t>H</m:t>
                    </m:r>
                  </m:sub>
                </m:sSub>
              </m:oMath>
            </m:oMathPara>
          </w:p>
        </w:tc>
        <w:tc>
          <w:tcPr>
            <w:tcW w:w="1136" w:type="dxa"/>
          </w:tcPr>
          <w:p w14:paraId="512FEB11" w14:textId="47B8F188" w:rsidR="001D3C8F" w:rsidRPr="009F3E81" w:rsidRDefault="00000000" w:rsidP="00182C96">
            <w:pPr>
              <w:pStyle w:val="a4"/>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bCs/>
                <w:i w:val="0"/>
                <w:iCs w:val="0"/>
                <w:kern w:val="2"/>
                <w:sz w:val="21"/>
                <w:szCs w:val="21"/>
                <w14:ligatures w14:val="standardContextual"/>
              </w:rPr>
            </w:pPr>
            <m:oMathPara>
              <m:oMath>
                <m:sSub>
                  <m:sSubPr>
                    <m:ctrlPr>
                      <w:rPr>
                        <w:rFonts w:ascii="Cambria Math" w:eastAsiaTheme="minorEastAsia" w:hAnsi="Cambria Math"/>
                        <w:b/>
                        <w:bCs/>
                        <w:i w:val="0"/>
                        <w:iCs w:val="0"/>
                        <w:kern w:val="2"/>
                        <w:sz w:val="21"/>
                        <w:szCs w:val="21"/>
                        <w14:ligatures w14:val="standardContextual"/>
                      </w:rPr>
                    </m:ctrlPr>
                  </m:sSubPr>
                  <m:e>
                    <m:r>
                      <m:rPr>
                        <m:sty m:val="bi"/>
                      </m:rPr>
                      <w:rPr>
                        <w:rFonts w:ascii="Cambria Math" w:eastAsiaTheme="minorEastAsia" w:hAnsi="Cambria Math"/>
                        <w:kern w:val="2"/>
                        <w:sz w:val="21"/>
                        <w:szCs w:val="21"/>
                        <w14:ligatures w14:val="standardContextual"/>
                      </w:rPr>
                      <m:t>ϵ</m:t>
                    </m:r>
                  </m:e>
                  <m:sub>
                    <m:r>
                      <m:rPr>
                        <m:sty m:val="bi"/>
                      </m:rPr>
                      <w:rPr>
                        <w:rFonts w:ascii="Cambria Math" w:eastAsiaTheme="minorEastAsia" w:hAnsi="Cambria Math"/>
                        <w:kern w:val="2"/>
                        <w:sz w:val="21"/>
                        <w:szCs w:val="21"/>
                        <w14:ligatures w14:val="standardContextual"/>
                      </w:rPr>
                      <m:t>NN</m:t>
                    </m:r>
                  </m:sub>
                </m:sSub>
              </m:oMath>
            </m:oMathPara>
          </w:p>
        </w:tc>
        <w:tc>
          <w:tcPr>
            <w:tcW w:w="1136" w:type="dxa"/>
          </w:tcPr>
          <w:p w14:paraId="3659D965" w14:textId="3EADBE03" w:rsidR="001D3C8F" w:rsidRPr="009F3E81" w:rsidRDefault="00000000" w:rsidP="00182C96">
            <w:pPr>
              <w:pStyle w:val="a4"/>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bCs/>
                <w:i w:val="0"/>
                <w:iCs w:val="0"/>
                <w:kern w:val="2"/>
                <w:sz w:val="21"/>
                <w:szCs w:val="21"/>
                <w14:ligatures w14:val="standardContextual"/>
              </w:rPr>
            </w:pPr>
            <m:oMathPara>
              <m:oMath>
                <m:sSub>
                  <m:sSubPr>
                    <m:ctrlPr>
                      <w:rPr>
                        <w:rFonts w:ascii="Cambria Math" w:eastAsiaTheme="minorEastAsia" w:hAnsi="Cambria Math"/>
                        <w:b/>
                        <w:bCs/>
                        <w:i w:val="0"/>
                        <w:iCs w:val="0"/>
                        <w:kern w:val="2"/>
                        <w:sz w:val="21"/>
                        <w:szCs w:val="21"/>
                        <w14:ligatures w14:val="standardContextual"/>
                      </w:rPr>
                    </m:ctrlPr>
                  </m:sSubPr>
                  <m:e>
                    <m:r>
                      <m:rPr>
                        <m:sty m:val="bi"/>
                      </m:rPr>
                      <w:rPr>
                        <w:rFonts w:ascii="Cambria Math" w:eastAsiaTheme="minorEastAsia" w:hAnsi="Cambria Math"/>
                        <w:kern w:val="2"/>
                        <w:sz w:val="21"/>
                        <w:szCs w:val="21"/>
                        <w14:ligatures w14:val="standardContextual"/>
                      </w:rPr>
                      <m:t>ϵ</m:t>
                    </m:r>
                  </m:e>
                  <m:sub>
                    <m:r>
                      <m:rPr>
                        <m:sty m:val="bi"/>
                      </m:rPr>
                      <w:rPr>
                        <w:rFonts w:ascii="Cambria Math" w:eastAsiaTheme="minorEastAsia" w:hAnsi="Cambria Math"/>
                        <w:kern w:val="2"/>
                        <w:sz w:val="21"/>
                        <w:szCs w:val="21"/>
                        <w14:ligatures w14:val="standardContextual"/>
                      </w:rPr>
                      <m:t>HH</m:t>
                    </m:r>
                  </m:sub>
                </m:sSub>
              </m:oMath>
            </m:oMathPara>
          </w:p>
        </w:tc>
        <w:tc>
          <w:tcPr>
            <w:tcW w:w="1136" w:type="dxa"/>
          </w:tcPr>
          <w:p w14:paraId="2FF5D8F3" w14:textId="69CB5F43" w:rsidR="001D3C8F" w:rsidRPr="009F3E81" w:rsidRDefault="00000000" w:rsidP="00182C96">
            <w:pPr>
              <w:pStyle w:val="a4"/>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bCs/>
                <w:i w:val="0"/>
                <w:iCs w:val="0"/>
                <w:kern w:val="2"/>
                <w:sz w:val="21"/>
                <w:szCs w:val="21"/>
                <w14:ligatures w14:val="standardContextual"/>
              </w:rPr>
            </w:pPr>
            <m:oMathPara>
              <m:oMath>
                <m:sSub>
                  <m:sSubPr>
                    <m:ctrlPr>
                      <w:rPr>
                        <w:rFonts w:ascii="Cambria Math" w:eastAsiaTheme="minorEastAsia" w:hAnsi="Cambria Math"/>
                        <w:b/>
                        <w:bCs/>
                        <w:i w:val="0"/>
                        <w:iCs w:val="0"/>
                        <w:kern w:val="2"/>
                        <w:sz w:val="21"/>
                        <w:szCs w:val="21"/>
                        <w14:ligatures w14:val="standardContextual"/>
                      </w:rPr>
                    </m:ctrlPr>
                  </m:sSubPr>
                  <m:e>
                    <m:r>
                      <m:rPr>
                        <m:sty m:val="bi"/>
                      </m:rPr>
                      <w:rPr>
                        <w:rFonts w:ascii="Cambria Math" w:eastAsiaTheme="minorEastAsia" w:hAnsi="Cambria Math"/>
                        <w:kern w:val="2"/>
                        <w:sz w:val="21"/>
                        <w:szCs w:val="21"/>
                        <w14:ligatures w14:val="standardContextual"/>
                      </w:rPr>
                      <m:t>ϵ</m:t>
                    </m:r>
                  </m:e>
                  <m:sub>
                    <m:r>
                      <m:rPr>
                        <m:sty m:val="bi"/>
                      </m:rPr>
                      <w:rPr>
                        <w:rFonts w:ascii="Cambria Math" w:eastAsiaTheme="minorEastAsia" w:hAnsi="Cambria Math"/>
                        <w:kern w:val="2"/>
                        <w:sz w:val="21"/>
                        <w:szCs w:val="21"/>
                        <w14:ligatures w14:val="standardContextual"/>
                      </w:rPr>
                      <m:t>NH</m:t>
                    </m:r>
                  </m:sub>
                </m:sSub>
              </m:oMath>
            </m:oMathPara>
          </w:p>
        </w:tc>
      </w:tr>
      <w:tr w:rsidR="001D3C8F" w14:paraId="2AE992D5" w14:textId="77777777" w:rsidTr="001D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1" w:type="dxa"/>
          </w:tcPr>
          <w:p w14:paraId="1B3A6BD5" w14:textId="01EA3941" w:rsidR="001D3C8F" w:rsidRPr="002121D2" w:rsidRDefault="001D3C8F" w:rsidP="001D16EC">
            <w:pPr>
              <w:pStyle w:val="a4"/>
              <w:spacing w:line="360" w:lineRule="auto"/>
              <w:jc w:val="both"/>
              <w:rPr>
                <w:rFonts w:eastAsiaTheme="minorEastAsia"/>
                <w:i w:val="0"/>
                <w:iCs w:val="0"/>
                <w:kern w:val="2"/>
                <w:sz w:val="21"/>
                <w:szCs w:val="21"/>
                <w14:ligatures w14:val="standardContextual"/>
              </w:rPr>
            </w:pPr>
            <w:r w:rsidRPr="002121D2">
              <w:rPr>
                <w:rFonts w:eastAsiaTheme="minorEastAsia"/>
                <w:i w:val="0"/>
                <w:iCs w:val="0"/>
                <w:kern w:val="2"/>
                <w:sz w:val="21"/>
                <w:szCs w:val="21"/>
                <w14:ligatures w14:val="standardContextual"/>
              </w:rPr>
              <w:t>Ideal Mixture of Nitrogen and Hydrogens</w:t>
            </w:r>
          </w:p>
        </w:tc>
        <w:tc>
          <w:tcPr>
            <w:tcW w:w="1135" w:type="dxa"/>
          </w:tcPr>
          <w:p w14:paraId="2B479755" w14:textId="3193505E"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-0.1 eV</w:t>
            </w:r>
          </w:p>
        </w:tc>
        <w:tc>
          <w:tcPr>
            <w:tcW w:w="1136" w:type="dxa"/>
          </w:tcPr>
          <w:p w14:paraId="74856042" w14:textId="65356771"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-0.1 eV</w:t>
            </w:r>
          </w:p>
        </w:tc>
        <w:tc>
          <w:tcPr>
            <w:tcW w:w="1136" w:type="dxa"/>
          </w:tcPr>
          <w:p w14:paraId="3BCAAFA6" w14:textId="72A23C1C"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 eV</w:t>
            </w:r>
          </w:p>
        </w:tc>
        <w:tc>
          <w:tcPr>
            <w:tcW w:w="1136" w:type="dxa"/>
          </w:tcPr>
          <w:p w14:paraId="69C14DE4" w14:textId="0FC9A52E"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 eV</w:t>
            </w:r>
          </w:p>
        </w:tc>
        <w:tc>
          <w:tcPr>
            <w:tcW w:w="1136" w:type="dxa"/>
          </w:tcPr>
          <w:p w14:paraId="37D614D2" w14:textId="394A6395"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 eV</w:t>
            </w:r>
          </w:p>
        </w:tc>
      </w:tr>
      <w:tr w:rsidR="001D3C8F" w14:paraId="6741B43C" w14:textId="77777777" w:rsidTr="001D3C8F">
        <w:tc>
          <w:tcPr>
            <w:cnfStyle w:val="001000000000" w:firstRow="0" w:lastRow="0" w:firstColumn="1" w:lastColumn="0" w:oddVBand="0" w:evenVBand="0" w:oddHBand="0" w:evenHBand="0" w:firstRowFirstColumn="0" w:firstRowLastColumn="0" w:lastRowFirstColumn="0" w:lastRowLastColumn="0"/>
            <w:tcW w:w="3671" w:type="dxa"/>
          </w:tcPr>
          <w:p w14:paraId="5DB2C759" w14:textId="28CB7066" w:rsidR="001D3C8F" w:rsidRPr="002121D2" w:rsidRDefault="001D3C8F" w:rsidP="001D16EC">
            <w:pPr>
              <w:pStyle w:val="a4"/>
              <w:spacing w:line="360" w:lineRule="auto"/>
              <w:jc w:val="both"/>
              <w:rPr>
                <w:rFonts w:eastAsiaTheme="minorEastAsia"/>
                <w:i w:val="0"/>
                <w:iCs w:val="0"/>
                <w:kern w:val="2"/>
                <w:sz w:val="21"/>
                <w:szCs w:val="21"/>
                <w14:ligatures w14:val="standardContextual"/>
              </w:rPr>
            </w:pPr>
            <w:r w:rsidRPr="002121D2">
              <w:rPr>
                <w:rFonts w:eastAsiaTheme="minorEastAsia"/>
                <w:i w:val="0"/>
                <w:iCs w:val="0"/>
                <w:kern w:val="2"/>
                <w:sz w:val="21"/>
                <w:szCs w:val="21"/>
                <w14:ligatures w14:val="standardContextual"/>
              </w:rPr>
              <w:t>Repulsive Interactions between Nitrogen and Hydrogen</w:t>
            </w:r>
          </w:p>
        </w:tc>
        <w:tc>
          <w:tcPr>
            <w:tcW w:w="1135" w:type="dxa"/>
          </w:tcPr>
          <w:p w14:paraId="2E969699" w14:textId="4AAF5966" w:rsidR="001D3C8F" w:rsidRPr="002121D2" w:rsidRDefault="001D3C8F" w:rsidP="001D16EC">
            <w:pPr>
              <w:pStyle w:val="a4"/>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-0.1 eV</w:t>
            </w:r>
          </w:p>
        </w:tc>
        <w:tc>
          <w:tcPr>
            <w:tcW w:w="1136" w:type="dxa"/>
          </w:tcPr>
          <w:p w14:paraId="621C2952" w14:textId="44058DFF" w:rsidR="001D3C8F" w:rsidRPr="002121D2" w:rsidRDefault="001D3C8F" w:rsidP="001D16EC">
            <w:pPr>
              <w:pStyle w:val="a4"/>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-0.1 eV</w:t>
            </w:r>
          </w:p>
        </w:tc>
        <w:tc>
          <w:tcPr>
            <w:tcW w:w="1136" w:type="dxa"/>
          </w:tcPr>
          <w:p w14:paraId="6D6A2267" w14:textId="3034ACF2" w:rsidR="001D3C8F" w:rsidRPr="002121D2" w:rsidRDefault="001D3C8F" w:rsidP="001D16EC">
            <w:pPr>
              <w:pStyle w:val="a4"/>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0.05 eV</w:t>
            </w:r>
          </w:p>
        </w:tc>
        <w:tc>
          <w:tcPr>
            <w:tcW w:w="1136" w:type="dxa"/>
          </w:tcPr>
          <w:p w14:paraId="1BB6ADAD" w14:textId="303B6440" w:rsidR="001D3C8F" w:rsidRPr="002121D2" w:rsidRDefault="001D3C8F" w:rsidP="001D16EC">
            <w:pPr>
              <w:pStyle w:val="a4"/>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0.05 eV</w:t>
            </w:r>
          </w:p>
        </w:tc>
        <w:tc>
          <w:tcPr>
            <w:tcW w:w="1136" w:type="dxa"/>
          </w:tcPr>
          <w:p w14:paraId="4A317AD2" w14:textId="21B0CA9A" w:rsidR="001D3C8F" w:rsidRPr="002121D2" w:rsidRDefault="001D3C8F" w:rsidP="001D16EC">
            <w:pPr>
              <w:pStyle w:val="a4"/>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0.05 eV</w:t>
            </w:r>
          </w:p>
        </w:tc>
      </w:tr>
      <w:tr w:rsidR="001D3C8F" w14:paraId="77A30D94" w14:textId="77777777" w:rsidTr="001D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1" w:type="dxa"/>
          </w:tcPr>
          <w:p w14:paraId="5EAC5BDA" w14:textId="3487369C" w:rsidR="001D3C8F" w:rsidRPr="002121D2" w:rsidRDefault="001D3C8F" w:rsidP="001D16EC">
            <w:pPr>
              <w:pStyle w:val="a4"/>
              <w:spacing w:line="360" w:lineRule="auto"/>
              <w:jc w:val="both"/>
              <w:rPr>
                <w:rFonts w:eastAsiaTheme="minorEastAsia"/>
                <w:i w:val="0"/>
                <w:iCs w:val="0"/>
                <w:kern w:val="2"/>
                <w:sz w:val="21"/>
                <w:szCs w:val="21"/>
                <w14:ligatures w14:val="standardContextual"/>
              </w:rPr>
            </w:pPr>
            <w:r w:rsidRPr="002121D2">
              <w:rPr>
                <w:rFonts w:eastAsiaTheme="minorEastAsia"/>
                <w:i w:val="0"/>
                <w:iCs w:val="0"/>
                <w:kern w:val="2"/>
                <w:sz w:val="21"/>
                <w:szCs w:val="21"/>
                <w14:ligatures w14:val="standardContextual"/>
              </w:rPr>
              <w:t>Attractive Interactions between Nitrogen and Hydrogen</w:t>
            </w:r>
          </w:p>
        </w:tc>
        <w:tc>
          <w:tcPr>
            <w:tcW w:w="1135" w:type="dxa"/>
          </w:tcPr>
          <w:p w14:paraId="154CB648" w14:textId="05D977BE"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-0.1 eV</w:t>
            </w:r>
          </w:p>
        </w:tc>
        <w:tc>
          <w:tcPr>
            <w:tcW w:w="1136" w:type="dxa"/>
          </w:tcPr>
          <w:p w14:paraId="3AF993D7" w14:textId="02D36794"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-0.1 eV</w:t>
            </w:r>
          </w:p>
        </w:tc>
        <w:tc>
          <w:tcPr>
            <w:tcW w:w="1136" w:type="dxa"/>
          </w:tcPr>
          <w:p w14:paraId="13A974FA" w14:textId="015820D6"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-0.05 eV</w:t>
            </w:r>
          </w:p>
        </w:tc>
        <w:tc>
          <w:tcPr>
            <w:tcW w:w="1136" w:type="dxa"/>
          </w:tcPr>
          <w:p w14:paraId="66F95470" w14:textId="2CF05316"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-0.05 eV</w:t>
            </w:r>
          </w:p>
        </w:tc>
        <w:tc>
          <w:tcPr>
            <w:tcW w:w="1136" w:type="dxa"/>
          </w:tcPr>
          <w:p w14:paraId="062940AE" w14:textId="1AB04651"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-0.05 eV</w:t>
            </w:r>
          </w:p>
        </w:tc>
      </w:tr>
      <w:tr w:rsidR="001D3C8F" w14:paraId="7A151E78" w14:textId="77777777" w:rsidTr="001D3C8F">
        <w:tc>
          <w:tcPr>
            <w:cnfStyle w:val="001000000000" w:firstRow="0" w:lastRow="0" w:firstColumn="1" w:lastColumn="0" w:oddVBand="0" w:evenVBand="0" w:oddHBand="0" w:evenHBand="0" w:firstRowFirstColumn="0" w:firstRowLastColumn="0" w:lastRowFirstColumn="0" w:lastRowLastColumn="0"/>
            <w:tcW w:w="3671" w:type="dxa"/>
          </w:tcPr>
          <w:p w14:paraId="454CD3B6" w14:textId="3A7B564C" w:rsidR="001D3C8F" w:rsidRPr="002121D2" w:rsidRDefault="001D3C8F" w:rsidP="001D16EC">
            <w:pPr>
              <w:pStyle w:val="a4"/>
              <w:spacing w:line="360" w:lineRule="auto"/>
              <w:jc w:val="both"/>
              <w:rPr>
                <w:rFonts w:eastAsiaTheme="minorEastAsia"/>
                <w:i w:val="0"/>
                <w:iCs w:val="0"/>
                <w:kern w:val="2"/>
                <w:sz w:val="21"/>
                <w:szCs w:val="21"/>
                <w14:ligatures w14:val="standardContextual"/>
              </w:rPr>
            </w:pPr>
            <w:r w:rsidRPr="002121D2">
              <w:rPr>
                <w:rFonts w:eastAsiaTheme="minorEastAsia"/>
                <w:i w:val="0"/>
                <w:iCs w:val="0"/>
                <w:kern w:val="2"/>
                <w:sz w:val="21"/>
                <w:szCs w:val="21"/>
                <w14:ligatures w14:val="standardContextual"/>
              </w:rPr>
              <w:t>Immiscible Nitrogen and Hydrogen</w:t>
            </w:r>
          </w:p>
        </w:tc>
        <w:tc>
          <w:tcPr>
            <w:tcW w:w="1135" w:type="dxa"/>
          </w:tcPr>
          <w:p w14:paraId="2F62CB27" w14:textId="3FCB6142" w:rsidR="001D3C8F" w:rsidRPr="002121D2" w:rsidRDefault="001D3C8F" w:rsidP="001D16EC">
            <w:pPr>
              <w:pStyle w:val="a4"/>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-0.1 eV</w:t>
            </w:r>
          </w:p>
        </w:tc>
        <w:tc>
          <w:tcPr>
            <w:tcW w:w="1136" w:type="dxa"/>
          </w:tcPr>
          <w:p w14:paraId="7C186F6E" w14:textId="785EEBAD" w:rsidR="001D3C8F" w:rsidRPr="002121D2" w:rsidRDefault="001D3C8F" w:rsidP="001D16EC">
            <w:pPr>
              <w:pStyle w:val="a4"/>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-0.1 eV</w:t>
            </w:r>
          </w:p>
        </w:tc>
        <w:tc>
          <w:tcPr>
            <w:tcW w:w="1136" w:type="dxa"/>
          </w:tcPr>
          <w:p w14:paraId="5077CE1D" w14:textId="0C8F7BB7" w:rsidR="001D3C8F" w:rsidRPr="002121D2" w:rsidRDefault="001D3C8F" w:rsidP="001D16EC">
            <w:pPr>
              <w:pStyle w:val="a4"/>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-0.05 eV</w:t>
            </w:r>
          </w:p>
        </w:tc>
        <w:tc>
          <w:tcPr>
            <w:tcW w:w="1136" w:type="dxa"/>
          </w:tcPr>
          <w:p w14:paraId="1F2B11D1" w14:textId="7CCCBF0F" w:rsidR="001D3C8F" w:rsidRPr="002121D2" w:rsidRDefault="001D3C8F" w:rsidP="001D16EC">
            <w:pPr>
              <w:pStyle w:val="a4"/>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-0.05 eV</w:t>
            </w:r>
          </w:p>
        </w:tc>
        <w:tc>
          <w:tcPr>
            <w:tcW w:w="1136" w:type="dxa"/>
          </w:tcPr>
          <w:p w14:paraId="52574C40" w14:textId="55A19B5F" w:rsidR="001D3C8F" w:rsidRPr="002121D2" w:rsidRDefault="001D3C8F" w:rsidP="001D16EC">
            <w:pPr>
              <w:pStyle w:val="a4"/>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0.05 eV</w:t>
            </w:r>
          </w:p>
        </w:tc>
      </w:tr>
      <w:tr w:rsidR="001D3C8F" w14:paraId="2E359544" w14:textId="77777777" w:rsidTr="002121D2">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671" w:type="dxa"/>
          </w:tcPr>
          <w:p w14:paraId="173EDF07" w14:textId="747398FD" w:rsidR="001D3C8F" w:rsidRPr="002121D2" w:rsidRDefault="001D3C8F" w:rsidP="001D16EC">
            <w:pPr>
              <w:pStyle w:val="a4"/>
              <w:spacing w:line="360" w:lineRule="auto"/>
              <w:jc w:val="both"/>
              <w:rPr>
                <w:rFonts w:eastAsiaTheme="minorEastAsia"/>
                <w:i w:val="0"/>
                <w:iCs w:val="0"/>
                <w:kern w:val="2"/>
                <w:sz w:val="21"/>
                <w:szCs w:val="21"/>
                <w14:ligatures w14:val="standardContextual"/>
              </w:rPr>
            </w:pPr>
            <w:r w:rsidRPr="002121D2">
              <w:rPr>
                <w:rFonts w:eastAsiaTheme="minorEastAsia"/>
                <w:i w:val="0"/>
                <w:iCs w:val="0"/>
                <w:kern w:val="2"/>
                <w:sz w:val="21"/>
                <w:szCs w:val="21"/>
                <w14:ligatures w14:val="standardContextual"/>
              </w:rPr>
              <w:t>Like Dissolves Unlike</w:t>
            </w:r>
          </w:p>
        </w:tc>
        <w:tc>
          <w:tcPr>
            <w:tcW w:w="1135" w:type="dxa"/>
          </w:tcPr>
          <w:p w14:paraId="61FEC5B7" w14:textId="75CB4CD8"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-0.1 eV</w:t>
            </w:r>
          </w:p>
        </w:tc>
        <w:tc>
          <w:tcPr>
            <w:tcW w:w="1136" w:type="dxa"/>
          </w:tcPr>
          <w:p w14:paraId="05F3E3D6" w14:textId="134FFF3F"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-0.1 eV</w:t>
            </w:r>
          </w:p>
        </w:tc>
        <w:tc>
          <w:tcPr>
            <w:tcW w:w="1136" w:type="dxa"/>
          </w:tcPr>
          <w:p w14:paraId="787840DC" w14:textId="38C273EF"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0.05 eV</w:t>
            </w:r>
          </w:p>
        </w:tc>
        <w:tc>
          <w:tcPr>
            <w:tcW w:w="1136" w:type="dxa"/>
          </w:tcPr>
          <w:p w14:paraId="385D3A00" w14:textId="16E662D5"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0.05 eV</w:t>
            </w:r>
          </w:p>
        </w:tc>
        <w:tc>
          <w:tcPr>
            <w:tcW w:w="1136" w:type="dxa"/>
          </w:tcPr>
          <w:p w14:paraId="6B86D210" w14:textId="1F6A320A"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-0.05 eV</w:t>
            </w:r>
          </w:p>
        </w:tc>
      </w:tr>
    </w:tbl>
    <w:p w14:paraId="41B2709B" w14:textId="238BA1D2" w:rsidR="001D3D75" w:rsidRPr="00F54ED6" w:rsidRDefault="001D3D75" w:rsidP="001D16EC">
      <w:pPr>
        <w:pStyle w:val="a4"/>
        <w:spacing w:line="360" w:lineRule="auto"/>
        <w:ind w:firstLine="720"/>
        <w:jc w:val="both"/>
        <w:rPr>
          <w:rFonts w:eastAsiaTheme="minorEastAsia"/>
          <w:kern w:val="2"/>
          <w14:ligatures w14:val="standardContextual"/>
        </w:rPr>
      </w:pPr>
      <w:r w:rsidRPr="00F54ED6">
        <w:rPr>
          <w:rFonts w:eastAsiaTheme="minorEastAsia"/>
          <w:kern w:val="2"/>
          <w14:ligatures w14:val="standardContextual"/>
        </w:rPr>
        <w:lastRenderedPageBreak/>
        <w:t>Simulations were conducted over a temperature range of 0 to 300 K to capture the effects of thermal fluctuations on adsorption patterns. The chemical potential of adsorbate A (μ</w:t>
      </w:r>
      <w:r w:rsidRPr="00282DA6">
        <w:rPr>
          <w:rFonts w:eastAsiaTheme="minorEastAsia"/>
          <w:kern w:val="2"/>
          <w:vertAlign w:val="subscript"/>
          <w14:ligatures w14:val="standardContextual"/>
        </w:rPr>
        <w:t>A</w:t>
      </w:r>
      <w:r w:rsidRPr="00F54ED6">
        <w:rPr>
          <w:rFonts w:eastAsiaTheme="minorEastAsia"/>
          <w:kern w:val="2"/>
          <w14:ligatures w14:val="standardContextual"/>
        </w:rPr>
        <w:t>​) was varied from -0.2 eV to 0 eV to explore its influence on the adsorption affinities of nitrogen and hydrogen.</w:t>
      </w:r>
      <w:r w:rsidR="00581DA9">
        <w:rPr>
          <w:rFonts w:eastAsiaTheme="minorEastAsia" w:hint="eastAsia"/>
          <w:kern w:val="2"/>
          <w14:ligatures w14:val="standardContextual"/>
        </w:rPr>
        <w:t xml:space="preserve"> The lattice size was set as 20 x 20 to fully understand the competitive adsorption behavior.</w:t>
      </w:r>
      <w:r w:rsidRPr="00F54ED6">
        <w:rPr>
          <w:rFonts w:eastAsiaTheme="minorEastAsia"/>
          <w:kern w:val="2"/>
          <w14:ligatures w14:val="standardContextual"/>
        </w:rPr>
        <w:t xml:space="preserve"> The phase diagrams generated for each set of interaction conditions quantified adsorption occupancy fractions, while lattice configurations visually demonstrated the spatial adsorption patterns on the catalyst surface.</w:t>
      </w:r>
    </w:p>
    <w:p w14:paraId="22A5708A" w14:textId="15DDB831" w:rsidR="00474CB0" w:rsidRPr="00CD159A" w:rsidRDefault="00474CB0" w:rsidP="001D16EC">
      <w:pPr>
        <w:pStyle w:val="a3"/>
        <w:numPr>
          <w:ilvl w:val="0"/>
          <w:numId w:val="15"/>
        </w:numPr>
        <w:spacing w:line="360" w:lineRule="auto"/>
        <w:ind w:leftChars="0"/>
        <w:rPr>
          <w:rFonts w:ascii="Times New Roman" w:hAnsi="Times New Roman" w:cs="Times New Roman"/>
          <w:b/>
          <w:bCs/>
          <w:sz w:val="24"/>
          <w:szCs w:val="24"/>
        </w:rPr>
      </w:pPr>
      <w:r w:rsidRPr="00CD159A">
        <w:rPr>
          <w:rFonts w:ascii="Times New Roman" w:hAnsi="Times New Roman" w:cs="Times New Roman"/>
          <w:b/>
          <w:bCs/>
          <w:sz w:val="24"/>
          <w:szCs w:val="24"/>
        </w:rPr>
        <w:t>Results</w:t>
      </w:r>
      <w:r w:rsidR="006D7A76">
        <w:rPr>
          <w:rFonts w:ascii="Times New Roman" w:hAnsi="Times New Roman" w:cs="Times New Roman"/>
          <w:b/>
          <w:bCs/>
          <w:sz w:val="24"/>
          <w:szCs w:val="24"/>
        </w:rPr>
        <w:t xml:space="preserve"> and discussion</w:t>
      </w:r>
    </w:p>
    <w:p w14:paraId="28A0391C" w14:textId="30F39009" w:rsidR="00834461" w:rsidRPr="00834461" w:rsidRDefault="00834461" w:rsidP="001D16EC">
      <w:pPr>
        <w:pStyle w:val="a3"/>
        <w:numPr>
          <w:ilvl w:val="1"/>
          <w:numId w:val="15"/>
        </w:numPr>
        <w:spacing w:line="360" w:lineRule="auto"/>
        <w:ind w:leftChars="0"/>
        <w:rPr>
          <w:rFonts w:ascii="Times New Roman" w:hAnsi="Times New Roman" w:cs="Times New Roman"/>
          <w:b/>
          <w:bCs/>
          <w:sz w:val="24"/>
          <w:szCs w:val="24"/>
        </w:rPr>
      </w:pPr>
      <w:r>
        <w:rPr>
          <w:rFonts w:ascii="Times New Roman" w:hAnsi="Times New Roman" w:cs="Times New Roman"/>
          <w:sz w:val="24"/>
          <w:szCs w:val="24"/>
        </w:rPr>
        <w:t xml:space="preserve"> </w:t>
      </w:r>
      <w:r w:rsidRPr="00834461">
        <w:rPr>
          <w:rFonts w:ascii="Times New Roman" w:hAnsi="Times New Roman" w:cs="Times New Roman"/>
          <w:b/>
          <w:bCs/>
          <w:sz w:val="24"/>
          <w:szCs w:val="24"/>
        </w:rPr>
        <w:t>Ideal Mixture</w:t>
      </w:r>
      <w:r w:rsidR="00896C6B">
        <w:rPr>
          <w:rFonts w:ascii="Times New Roman" w:hAnsi="Times New Roman" w:cs="Times New Roman" w:hint="eastAsia"/>
          <w:b/>
          <w:bCs/>
          <w:sz w:val="24"/>
          <w:szCs w:val="24"/>
        </w:rPr>
        <w:t xml:space="preserve"> Scenario</w:t>
      </w:r>
    </w:p>
    <w:p w14:paraId="7FB9F93C" w14:textId="3F487228" w:rsidR="000E59DA" w:rsidRDefault="00E623F3" w:rsidP="001D16EC">
      <w:pPr>
        <w:spacing w:line="360" w:lineRule="auto"/>
        <w:ind w:firstLine="360"/>
        <w:jc w:val="both"/>
        <w:rPr>
          <w:rFonts w:ascii="Times New Roman" w:hAnsi="Times New Roman" w:cs="Times New Roman"/>
          <w:sz w:val="24"/>
          <w:szCs w:val="24"/>
        </w:rPr>
      </w:pPr>
      <w:r>
        <w:rPr>
          <w:noProof/>
        </w:rPr>
        <w:drawing>
          <wp:inline distT="0" distB="0" distL="0" distR="0" wp14:anchorId="170F30FD" wp14:editId="74EC151E">
            <wp:extent cx="5683885" cy="4023360"/>
            <wp:effectExtent l="0" t="0" r="0" b="0"/>
            <wp:docPr id="1718596482"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83885" cy="4023360"/>
                    </a:xfrm>
                    <a:prstGeom prst="rect">
                      <a:avLst/>
                    </a:prstGeom>
                    <a:noFill/>
                    <a:ln>
                      <a:noFill/>
                    </a:ln>
                  </pic:spPr>
                </pic:pic>
              </a:graphicData>
            </a:graphic>
          </wp:inline>
        </w:drawing>
      </w:r>
    </w:p>
    <w:p w14:paraId="5B6B7717" w14:textId="0DD081B0" w:rsidR="006F6AB2" w:rsidRDefault="006F6AB2" w:rsidP="006F6AB2">
      <w:pPr>
        <w:pStyle w:val="a4"/>
        <w:spacing w:line="360" w:lineRule="auto"/>
        <w:rPr>
          <w:rFonts w:eastAsiaTheme="minorEastAsia"/>
          <w:kern w:val="2"/>
          <w14:ligatures w14:val="standardContextual"/>
        </w:rPr>
      </w:pPr>
      <w:r>
        <w:rPr>
          <w:rFonts w:eastAsiaTheme="minorEastAsia" w:hint="eastAsia"/>
          <w:b/>
          <w:bCs/>
          <w:kern w:val="2"/>
          <w14:ligatures w14:val="standardContextual"/>
        </w:rPr>
        <w:t>Figure</w:t>
      </w:r>
      <w:r w:rsidRPr="00CF6A51">
        <w:rPr>
          <w:rFonts w:eastAsiaTheme="minorEastAsia" w:hint="eastAsia"/>
          <w:b/>
          <w:bCs/>
          <w:kern w:val="2"/>
          <w14:ligatures w14:val="standardContextual"/>
        </w:rPr>
        <w:t xml:space="preserve"> 1</w:t>
      </w:r>
      <w:r>
        <w:rPr>
          <w:rFonts w:eastAsiaTheme="minorEastAsia" w:hint="eastAsia"/>
          <w:kern w:val="2"/>
          <w14:ligatures w14:val="standardContextual"/>
        </w:rPr>
        <w:t xml:space="preserve">. </w:t>
      </w:r>
      <w:r w:rsidR="001813B9">
        <w:rPr>
          <w:rFonts w:eastAsiaTheme="minorEastAsia" w:hint="eastAsia"/>
          <w:kern w:val="2"/>
          <w14:ligatures w14:val="standardContextual"/>
        </w:rPr>
        <w:t xml:space="preserve">(A) </w:t>
      </w:r>
      <w:r>
        <w:rPr>
          <w:rFonts w:eastAsiaTheme="minorEastAsia" w:hint="eastAsia"/>
          <w:kern w:val="2"/>
          <w14:ligatures w14:val="standardContextual"/>
        </w:rPr>
        <w:t xml:space="preserve">Phase diagram and </w:t>
      </w:r>
      <w:r w:rsidR="001813B9">
        <w:rPr>
          <w:rFonts w:eastAsiaTheme="minorEastAsia" w:hint="eastAsia"/>
          <w:kern w:val="2"/>
          <w14:ligatures w14:val="standardContextual"/>
        </w:rPr>
        <w:t xml:space="preserve">(B) </w:t>
      </w:r>
      <w:r>
        <w:rPr>
          <w:rFonts w:eastAsiaTheme="minorEastAsia" w:hint="eastAsia"/>
          <w:kern w:val="2"/>
          <w14:ligatures w14:val="standardContextual"/>
        </w:rPr>
        <w:t>lattice for ideal mixture. The red circle denotes nitrogen and blue circle denotes hydrogen.</w:t>
      </w:r>
    </w:p>
    <w:p w14:paraId="2FF86DB3" w14:textId="77777777" w:rsidR="006F6AB2" w:rsidRDefault="006F6AB2" w:rsidP="001D16EC">
      <w:pPr>
        <w:spacing w:line="360" w:lineRule="auto"/>
        <w:ind w:firstLine="360"/>
        <w:jc w:val="both"/>
        <w:rPr>
          <w:rFonts w:ascii="Times New Roman" w:hAnsi="Times New Roman" w:cs="Times New Roman"/>
          <w:sz w:val="24"/>
          <w:szCs w:val="24"/>
        </w:rPr>
      </w:pPr>
    </w:p>
    <w:p w14:paraId="5F299F38" w14:textId="5ACE1629" w:rsidR="00690B57" w:rsidRPr="00834461" w:rsidRDefault="00AE38A4" w:rsidP="001D16EC">
      <w:pPr>
        <w:spacing w:line="360" w:lineRule="auto"/>
        <w:ind w:firstLine="360"/>
        <w:jc w:val="both"/>
        <w:rPr>
          <w:rFonts w:ascii="Times New Roman" w:hAnsi="Times New Roman" w:cs="Times New Roman"/>
          <w:sz w:val="24"/>
          <w:szCs w:val="24"/>
        </w:rPr>
      </w:pPr>
      <w:r>
        <w:rPr>
          <w:rFonts w:ascii="Times New Roman" w:hAnsi="Times New Roman" w:cs="Times New Roman" w:hint="eastAsia"/>
          <w:sz w:val="24"/>
          <w:szCs w:val="24"/>
        </w:rPr>
        <w:lastRenderedPageBreak/>
        <w:t xml:space="preserve">The result of </w:t>
      </w:r>
      <w:r w:rsidR="00715A77" w:rsidRPr="00715A77">
        <w:rPr>
          <w:rFonts w:ascii="Times New Roman" w:hAnsi="Times New Roman" w:cs="Times New Roman"/>
          <w:sz w:val="24"/>
          <w:szCs w:val="24"/>
        </w:rPr>
        <w:t>the ideal mixture scenario</w:t>
      </w:r>
      <w:r>
        <w:rPr>
          <w:rFonts w:ascii="Times New Roman" w:hAnsi="Times New Roman" w:cs="Times New Roman" w:hint="eastAsia"/>
          <w:sz w:val="24"/>
          <w:szCs w:val="24"/>
        </w:rPr>
        <w:t xml:space="preserve"> is shown in </w:t>
      </w:r>
      <w:r w:rsidRPr="00915D6E">
        <w:rPr>
          <w:rFonts w:ascii="Times New Roman" w:hAnsi="Times New Roman" w:cs="Times New Roman" w:hint="eastAsia"/>
          <w:b/>
          <w:bCs/>
          <w:sz w:val="24"/>
          <w:szCs w:val="24"/>
        </w:rPr>
        <w:t>Figure 1</w:t>
      </w:r>
      <w:r>
        <w:rPr>
          <w:rFonts w:ascii="Times New Roman" w:hAnsi="Times New Roman" w:cs="Times New Roman" w:hint="eastAsia"/>
          <w:sz w:val="24"/>
          <w:szCs w:val="24"/>
        </w:rPr>
        <w:t>. As a result</w:t>
      </w:r>
      <w:r w:rsidR="00E40EEF">
        <w:rPr>
          <w:rFonts w:ascii="Times New Roman" w:hAnsi="Times New Roman" w:cs="Times New Roman" w:hint="eastAsia"/>
          <w:sz w:val="24"/>
          <w:szCs w:val="24"/>
        </w:rPr>
        <w:t xml:space="preserve"> of simulation</w:t>
      </w:r>
      <w:r>
        <w:rPr>
          <w:rFonts w:ascii="Times New Roman" w:hAnsi="Times New Roman" w:cs="Times New Roman" w:hint="eastAsia"/>
          <w:sz w:val="24"/>
          <w:szCs w:val="24"/>
        </w:rPr>
        <w:t xml:space="preserve">, the </w:t>
      </w:r>
      <w:r w:rsidR="00715A77" w:rsidRPr="00715A77">
        <w:rPr>
          <w:rFonts w:ascii="Times New Roman" w:hAnsi="Times New Roman" w:cs="Times New Roman"/>
          <w:sz w:val="24"/>
          <w:szCs w:val="24"/>
        </w:rPr>
        <w:t>hydrogen adsorption increases as the chemical potential (μ</w:t>
      </w:r>
      <w:r w:rsidR="00715A77" w:rsidRPr="0066157D">
        <w:rPr>
          <w:rFonts w:ascii="Times New Roman" w:hAnsi="Times New Roman" w:cs="Times New Roman"/>
          <w:sz w:val="24"/>
          <w:szCs w:val="24"/>
          <w:vertAlign w:val="subscript"/>
        </w:rPr>
        <w:t>H</w:t>
      </w:r>
      <w:r w:rsidR="00715A77" w:rsidRPr="00715A77">
        <w:rPr>
          <w:rFonts w:ascii="Times New Roman" w:hAnsi="Times New Roman" w:cs="Times New Roman"/>
          <w:sz w:val="24"/>
          <w:szCs w:val="24"/>
        </w:rPr>
        <w:t>) becomes more positive. High adsorption is observed when μ</w:t>
      </w:r>
      <w:r w:rsidR="00715A77" w:rsidRPr="00715A77">
        <w:rPr>
          <w:rFonts w:ascii="Times New Roman" w:hAnsi="Times New Roman" w:cs="Times New Roman"/>
          <w:sz w:val="24"/>
          <w:szCs w:val="24"/>
          <w:vertAlign w:val="subscript"/>
        </w:rPr>
        <w:t>H</w:t>
      </w:r>
      <w:r w:rsidR="00715A77" w:rsidRPr="00715A77">
        <w:rPr>
          <w:rFonts w:ascii="Times New Roman" w:hAnsi="Times New Roman" w:cs="Times New Roman"/>
          <w:sz w:val="24"/>
          <w:szCs w:val="24"/>
        </w:rPr>
        <w:t xml:space="preserve"> approaches 0 eV, indicating that hydrogen is highly responsive to increases in chemical potential</w:t>
      </w:r>
      <w:r w:rsidR="00B41373">
        <w:rPr>
          <w:rFonts w:ascii="Times New Roman" w:hAnsi="Times New Roman" w:cs="Times New Roman" w:hint="eastAsia"/>
          <w:sz w:val="24"/>
          <w:szCs w:val="24"/>
        </w:rPr>
        <w:t xml:space="preserve"> (</w:t>
      </w:r>
      <w:r w:rsidR="00B41373" w:rsidRPr="00B41373">
        <w:rPr>
          <w:rFonts w:ascii="Times New Roman" w:hAnsi="Times New Roman" w:cs="Times New Roman" w:hint="eastAsia"/>
          <w:b/>
          <w:bCs/>
          <w:sz w:val="24"/>
          <w:szCs w:val="24"/>
        </w:rPr>
        <w:t>Figure 1A</w:t>
      </w:r>
      <w:r w:rsidR="00B41373">
        <w:rPr>
          <w:rFonts w:ascii="Times New Roman" w:hAnsi="Times New Roman" w:cs="Times New Roman" w:hint="eastAsia"/>
          <w:sz w:val="24"/>
          <w:szCs w:val="24"/>
        </w:rPr>
        <w:t>)</w:t>
      </w:r>
      <w:r w:rsidR="00715A77" w:rsidRPr="00715A77">
        <w:rPr>
          <w:rFonts w:ascii="Times New Roman" w:hAnsi="Times New Roman" w:cs="Times New Roman"/>
          <w:sz w:val="24"/>
          <w:szCs w:val="24"/>
        </w:rPr>
        <w:t xml:space="preserve">. This suggests that hydrogen’s affinity for the lattice rises </w:t>
      </w:r>
      <w:r w:rsidR="00FF7A38">
        <w:rPr>
          <w:rFonts w:ascii="Times New Roman" w:hAnsi="Times New Roman" w:cs="Times New Roman"/>
          <w:sz w:val="24"/>
          <w:szCs w:val="24"/>
        </w:rPr>
        <w:t>because</w:t>
      </w:r>
      <w:r w:rsidR="00715A77" w:rsidRPr="00715A77">
        <w:rPr>
          <w:rFonts w:ascii="Times New Roman" w:hAnsi="Times New Roman" w:cs="Times New Roman"/>
          <w:sz w:val="24"/>
          <w:szCs w:val="24"/>
        </w:rPr>
        <w:t xml:space="preserve"> its chemical potential becomes more favorable. However, as temperature rises, hydrogen adsorption decreases due to thermal desorption. The added thermal energy promotes desorption, reducing hydrogen coverage.</w:t>
      </w:r>
      <w:r w:rsidR="00690B57">
        <w:rPr>
          <w:rFonts w:ascii="Times New Roman" w:hAnsi="Times New Roman" w:cs="Times New Roman"/>
          <w:sz w:val="24"/>
          <w:szCs w:val="24"/>
        </w:rPr>
        <w:t xml:space="preserve"> </w:t>
      </w:r>
      <w:r w:rsidR="00715A77" w:rsidRPr="00715A77">
        <w:rPr>
          <w:rFonts w:ascii="Times New Roman" w:hAnsi="Times New Roman" w:cs="Times New Roman"/>
          <w:sz w:val="24"/>
          <w:szCs w:val="24"/>
        </w:rPr>
        <w:t>In contrast, nitrogen adsorption remains relatively low compared to hydrogen across the range of μ</w:t>
      </w:r>
      <w:r w:rsidR="00715A77" w:rsidRPr="00715A77">
        <w:rPr>
          <w:rFonts w:ascii="Times New Roman" w:hAnsi="Times New Roman" w:cs="Times New Roman"/>
          <w:sz w:val="24"/>
          <w:szCs w:val="24"/>
          <w:vertAlign w:val="subscript"/>
        </w:rPr>
        <w:t>H</w:t>
      </w:r>
      <w:r w:rsidR="00715A77" w:rsidRPr="00715A77">
        <w:rPr>
          <w:rFonts w:ascii="Times New Roman" w:hAnsi="Times New Roman" w:cs="Times New Roman"/>
          <w:sz w:val="24"/>
          <w:szCs w:val="24"/>
        </w:rPr>
        <w:t xml:space="preserve"> values. As μ</w:t>
      </w:r>
      <w:r w:rsidR="00715A77" w:rsidRPr="00715A77">
        <w:rPr>
          <w:rFonts w:ascii="Times New Roman" w:hAnsi="Times New Roman" w:cs="Times New Roman"/>
          <w:sz w:val="24"/>
          <w:szCs w:val="24"/>
          <w:vertAlign w:val="subscript"/>
        </w:rPr>
        <w:t>H</w:t>
      </w:r>
      <w:r w:rsidR="00715A77" w:rsidRPr="00715A77">
        <w:rPr>
          <w:rFonts w:ascii="Times New Roman" w:hAnsi="Times New Roman" w:cs="Times New Roman"/>
          <w:sz w:val="24"/>
          <w:szCs w:val="24"/>
        </w:rPr>
        <w:t xml:space="preserve"> becomes more positive, hydrogen adsorption outcompetes nitrogen for lattice sites</w:t>
      </w:r>
      <w:r w:rsidR="00ED7212">
        <w:rPr>
          <w:rFonts w:ascii="Times New Roman" w:hAnsi="Times New Roman" w:cs="Times New Roman" w:hint="eastAsia"/>
          <w:sz w:val="24"/>
          <w:szCs w:val="24"/>
        </w:rPr>
        <w:t xml:space="preserve"> (</w:t>
      </w:r>
      <w:r w:rsidR="00ED7212" w:rsidRPr="00ED7212">
        <w:rPr>
          <w:rFonts w:ascii="Times New Roman" w:hAnsi="Times New Roman" w:cs="Times New Roman" w:hint="eastAsia"/>
          <w:b/>
          <w:bCs/>
          <w:sz w:val="24"/>
          <w:szCs w:val="24"/>
        </w:rPr>
        <w:t>Figure 1B</w:t>
      </w:r>
      <w:r w:rsidR="00ED7212">
        <w:rPr>
          <w:rFonts w:ascii="Times New Roman" w:hAnsi="Times New Roman" w:cs="Times New Roman" w:hint="eastAsia"/>
          <w:sz w:val="24"/>
          <w:szCs w:val="24"/>
        </w:rPr>
        <w:t>)</w:t>
      </w:r>
      <w:r w:rsidR="00715A77" w:rsidRPr="00715A77">
        <w:rPr>
          <w:rFonts w:ascii="Times New Roman" w:hAnsi="Times New Roman" w:cs="Times New Roman"/>
          <w:sz w:val="24"/>
          <w:szCs w:val="24"/>
        </w:rPr>
        <w:t>. Nitrogen coverage only increases when μ</w:t>
      </w:r>
      <w:r w:rsidR="00715A77" w:rsidRPr="00715A77">
        <w:rPr>
          <w:rFonts w:ascii="Times New Roman" w:hAnsi="Times New Roman" w:cs="Times New Roman"/>
          <w:sz w:val="24"/>
          <w:szCs w:val="24"/>
          <w:vertAlign w:val="subscript"/>
        </w:rPr>
        <w:t>H</w:t>
      </w:r>
      <w:r w:rsidR="00715A77" w:rsidRPr="00715A77">
        <w:rPr>
          <w:rFonts w:ascii="Times New Roman" w:hAnsi="Times New Roman" w:cs="Times New Roman"/>
          <w:sz w:val="24"/>
          <w:szCs w:val="24"/>
        </w:rPr>
        <w:t xml:space="preserve"> is lower, reflecting nitrogen's preference for the lattice in the absence of competitive hydrogen adsorption.</w:t>
      </w:r>
    </w:p>
    <w:p w14:paraId="2E2D8A2B" w14:textId="7444F7E4" w:rsidR="00834461" w:rsidRPr="00834461" w:rsidRDefault="00834461" w:rsidP="001D16EC">
      <w:pPr>
        <w:pStyle w:val="a3"/>
        <w:numPr>
          <w:ilvl w:val="1"/>
          <w:numId w:val="15"/>
        </w:numPr>
        <w:spacing w:line="360" w:lineRule="auto"/>
        <w:ind w:leftChars="0"/>
        <w:rPr>
          <w:rFonts w:ascii="Times New Roman" w:hAnsi="Times New Roman" w:cs="Times New Roman"/>
          <w:b/>
          <w:bCs/>
          <w:sz w:val="24"/>
          <w:szCs w:val="24"/>
        </w:rPr>
      </w:pPr>
      <w:r>
        <w:rPr>
          <w:rFonts w:ascii="Times New Roman" w:hAnsi="Times New Roman" w:cs="Times New Roman"/>
          <w:sz w:val="24"/>
          <w:szCs w:val="24"/>
        </w:rPr>
        <w:t xml:space="preserve"> </w:t>
      </w:r>
      <w:r w:rsidRPr="00834461">
        <w:rPr>
          <w:rFonts w:ascii="Times New Roman" w:hAnsi="Times New Roman" w:cs="Times New Roman"/>
          <w:b/>
          <w:bCs/>
          <w:sz w:val="24"/>
          <w:szCs w:val="24"/>
        </w:rPr>
        <w:t>Repulsive Interactions</w:t>
      </w:r>
      <w:r w:rsidR="00896C6B">
        <w:rPr>
          <w:rFonts w:ascii="Times New Roman" w:hAnsi="Times New Roman" w:cs="Times New Roman" w:hint="eastAsia"/>
          <w:b/>
          <w:bCs/>
          <w:sz w:val="24"/>
          <w:szCs w:val="24"/>
        </w:rPr>
        <w:t xml:space="preserve"> Scenario</w:t>
      </w:r>
    </w:p>
    <w:p w14:paraId="64B0FC14" w14:textId="1D5FF216" w:rsidR="002108D0" w:rsidRDefault="00E623F3" w:rsidP="001D16EC">
      <w:pPr>
        <w:spacing w:line="360" w:lineRule="auto"/>
        <w:ind w:firstLine="360"/>
        <w:jc w:val="both"/>
        <w:rPr>
          <w:rFonts w:ascii="Times New Roman" w:hAnsi="Times New Roman" w:cs="Times New Roman"/>
          <w:sz w:val="24"/>
          <w:szCs w:val="24"/>
        </w:rPr>
      </w:pPr>
      <w:r>
        <w:rPr>
          <w:noProof/>
        </w:rPr>
        <w:drawing>
          <wp:inline distT="0" distB="0" distL="0" distR="0" wp14:anchorId="31BCD720" wp14:editId="771ED55C">
            <wp:extent cx="5676595" cy="3926918"/>
            <wp:effectExtent l="0" t="0" r="635" b="0"/>
            <wp:docPr id="1317077439"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0553" cy="3929656"/>
                    </a:xfrm>
                    <a:prstGeom prst="rect">
                      <a:avLst/>
                    </a:prstGeom>
                    <a:noFill/>
                    <a:ln>
                      <a:noFill/>
                    </a:ln>
                  </pic:spPr>
                </pic:pic>
              </a:graphicData>
            </a:graphic>
          </wp:inline>
        </w:drawing>
      </w:r>
    </w:p>
    <w:p w14:paraId="1FEAE051" w14:textId="73B0BC13" w:rsidR="006F6AB2" w:rsidRDefault="006F6AB2" w:rsidP="006F6AB2">
      <w:pPr>
        <w:pStyle w:val="a4"/>
        <w:spacing w:line="360" w:lineRule="auto"/>
        <w:rPr>
          <w:rFonts w:eastAsiaTheme="minorEastAsia"/>
          <w:kern w:val="2"/>
          <w14:ligatures w14:val="standardContextual"/>
        </w:rPr>
      </w:pPr>
      <w:r>
        <w:rPr>
          <w:rFonts w:eastAsiaTheme="minorEastAsia" w:hint="eastAsia"/>
          <w:b/>
          <w:bCs/>
          <w:kern w:val="2"/>
          <w14:ligatures w14:val="standardContextual"/>
        </w:rPr>
        <w:t>Figure</w:t>
      </w:r>
      <w:r w:rsidRPr="00CF6A51">
        <w:rPr>
          <w:rFonts w:eastAsiaTheme="minorEastAsia" w:hint="eastAsia"/>
          <w:b/>
          <w:bCs/>
          <w:kern w:val="2"/>
          <w14:ligatures w14:val="standardContextual"/>
        </w:rPr>
        <w:t xml:space="preserve"> </w:t>
      </w:r>
      <w:r>
        <w:rPr>
          <w:rFonts w:eastAsiaTheme="minorEastAsia" w:hint="eastAsia"/>
          <w:b/>
          <w:bCs/>
          <w:kern w:val="2"/>
          <w14:ligatures w14:val="standardContextual"/>
        </w:rPr>
        <w:t>2</w:t>
      </w:r>
      <w:r>
        <w:rPr>
          <w:rFonts w:eastAsiaTheme="minorEastAsia" w:hint="eastAsia"/>
          <w:kern w:val="2"/>
          <w14:ligatures w14:val="standardContextual"/>
        </w:rPr>
        <w:t xml:space="preserve">. </w:t>
      </w:r>
      <w:r w:rsidR="001813B9">
        <w:rPr>
          <w:rFonts w:eastAsiaTheme="minorEastAsia" w:hint="eastAsia"/>
          <w:kern w:val="2"/>
          <w14:ligatures w14:val="standardContextual"/>
        </w:rPr>
        <w:t>(A) Phase diagram and (B) lattice</w:t>
      </w:r>
      <w:r>
        <w:rPr>
          <w:rFonts w:eastAsiaTheme="minorEastAsia" w:hint="eastAsia"/>
          <w:kern w:val="2"/>
          <w14:ligatures w14:val="standardContextual"/>
        </w:rPr>
        <w:t xml:space="preserve"> for repulsive interactions. The red circle denotes nitrogen and blue circle denotes hydrogen.</w:t>
      </w:r>
    </w:p>
    <w:p w14:paraId="096AEF6B" w14:textId="4B7EF1F6" w:rsidR="001A0328" w:rsidRPr="001A0328" w:rsidRDefault="001A0328" w:rsidP="001D16EC">
      <w:pPr>
        <w:spacing w:line="360" w:lineRule="auto"/>
        <w:ind w:firstLine="360"/>
        <w:jc w:val="both"/>
        <w:rPr>
          <w:rFonts w:ascii="Times New Roman" w:hAnsi="Times New Roman" w:cs="Times New Roman"/>
          <w:sz w:val="24"/>
          <w:szCs w:val="24"/>
        </w:rPr>
      </w:pPr>
      <w:r w:rsidRPr="001A0328">
        <w:rPr>
          <w:rFonts w:ascii="Times New Roman" w:hAnsi="Times New Roman" w:cs="Times New Roman"/>
          <w:sz w:val="24"/>
          <w:szCs w:val="24"/>
        </w:rPr>
        <w:lastRenderedPageBreak/>
        <w:t xml:space="preserve">The results in </w:t>
      </w:r>
      <w:r w:rsidRPr="001A0328">
        <w:rPr>
          <w:rFonts w:ascii="Times New Roman" w:hAnsi="Times New Roman" w:cs="Times New Roman"/>
          <w:b/>
          <w:bCs/>
          <w:sz w:val="24"/>
          <w:szCs w:val="24"/>
        </w:rPr>
        <w:t>Figure 2</w:t>
      </w:r>
      <w:r w:rsidRPr="001A0328">
        <w:rPr>
          <w:rFonts w:ascii="Times New Roman" w:hAnsi="Times New Roman" w:cs="Times New Roman"/>
          <w:sz w:val="24"/>
          <w:szCs w:val="24"/>
        </w:rPr>
        <w:t xml:space="preserve"> show</w:t>
      </w:r>
      <w:r>
        <w:rPr>
          <w:rFonts w:ascii="Times New Roman" w:hAnsi="Times New Roman" w:cs="Times New Roman"/>
          <w:sz w:val="24"/>
          <w:szCs w:val="24"/>
        </w:rPr>
        <w:t>s</w:t>
      </w:r>
      <w:r w:rsidRPr="001A0328">
        <w:rPr>
          <w:rFonts w:ascii="Times New Roman" w:hAnsi="Times New Roman" w:cs="Times New Roman"/>
          <w:sz w:val="24"/>
          <w:szCs w:val="24"/>
        </w:rPr>
        <w:t xml:space="preserve"> hydrogen and nitrogen adsorption behavior on a lattice with repulsive interactions between the adsorbates. The top row presents phase diagrams for hydrogen </w:t>
      </w:r>
      <w:r w:rsidRPr="001A0328">
        <w:rPr>
          <w:rFonts w:ascii="Cambria Math" w:hAnsi="Cambria Math" w:cs="Cambria Math"/>
          <w:sz w:val="24"/>
          <w:szCs w:val="24"/>
        </w:rPr>
        <w:t>⟨</w:t>
      </w:r>
      <w:r w:rsidRPr="001A0328">
        <w:rPr>
          <w:rFonts w:ascii="Times New Roman" w:hAnsi="Times New Roman" w:cs="Times New Roman"/>
          <w:sz w:val="24"/>
          <w:szCs w:val="24"/>
        </w:rPr>
        <w:t>θ</w:t>
      </w:r>
      <w:r w:rsidRPr="001A0328">
        <w:rPr>
          <w:rFonts w:ascii="Times New Roman" w:hAnsi="Times New Roman" w:cs="Times New Roman"/>
          <w:sz w:val="24"/>
          <w:szCs w:val="24"/>
          <w:vertAlign w:val="subscript"/>
        </w:rPr>
        <w:t>H</w:t>
      </w:r>
      <w:r w:rsidRPr="001A0328">
        <w:rPr>
          <w:rFonts w:ascii="Cambria Math" w:hAnsi="Cambria Math" w:cs="Cambria Math"/>
          <w:sz w:val="24"/>
          <w:szCs w:val="24"/>
        </w:rPr>
        <w:t>⟩</w:t>
      </w:r>
      <w:r w:rsidRPr="001A0328">
        <w:rPr>
          <w:rFonts w:ascii="Times New Roman" w:hAnsi="Times New Roman" w:cs="Times New Roman"/>
          <w:sz w:val="24"/>
          <w:szCs w:val="24"/>
        </w:rPr>
        <w:t xml:space="preserve">, nitrogen </w:t>
      </w:r>
      <w:r w:rsidRPr="001A0328">
        <w:rPr>
          <w:rFonts w:ascii="Cambria Math" w:hAnsi="Cambria Math" w:cs="Cambria Math"/>
          <w:sz w:val="24"/>
          <w:szCs w:val="24"/>
        </w:rPr>
        <w:t>⟨</w:t>
      </w:r>
      <w:r w:rsidRPr="001A0328">
        <w:rPr>
          <w:rFonts w:ascii="Times New Roman" w:hAnsi="Times New Roman" w:cs="Times New Roman"/>
          <w:sz w:val="24"/>
          <w:szCs w:val="24"/>
        </w:rPr>
        <w:t>θ</w:t>
      </w:r>
      <w:r w:rsidRPr="001A0328">
        <w:rPr>
          <w:rFonts w:ascii="Times New Roman" w:hAnsi="Times New Roman" w:cs="Times New Roman"/>
          <w:sz w:val="24"/>
          <w:szCs w:val="24"/>
          <w:vertAlign w:val="subscript"/>
        </w:rPr>
        <w:t>N</w:t>
      </w:r>
      <w:r w:rsidRPr="001A0328">
        <w:rPr>
          <w:rFonts w:ascii="Cambria Math" w:hAnsi="Cambria Math" w:cs="Cambria Math"/>
          <w:sz w:val="24"/>
          <w:szCs w:val="24"/>
        </w:rPr>
        <w:t>⟩</w:t>
      </w:r>
      <w:r w:rsidRPr="001A0328">
        <w:rPr>
          <w:rFonts w:ascii="Times New Roman" w:hAnsi="Times New Roman" w:cs="Times New Roman"/>
          <w:sz w:val="24"/>
          <w:szCs w:val="24"/>
        </w:rPr>
        <w:t xml:space="preserve">, and their combined coverage </w:t>
      </w:r>
      <w:r w:rsidRPr="001A0328">
        <w:rPr>
          <w:rFonts w:ascii="Cambria Math" w:hAnsi="Cambria Math" w:cs="Cambria Math"/>
          <w:sz w:val="24"/>
          <w:szCs w:val="24"/>
        </w:rPr>
        <w:t>⟨</w:t>
      </w:r>
      <w:r w:rsidRPr="001A0328">
        <w:rPr>
          <w:rFonts w:ascii="Times New Roman" w:hAnsi="Times New Roman" w:cs="Times New Roman"/>
          <w:sz w:val="24"/>
          <w:szCs w:val="24"/>
        </w:rPr>
        <w:t>θ</w:t>
      </w:r>
      <w:r w:rsidRPr="001A0328">
        <w:rPr>
          <w:rFonts w:ascii="Times New Roman" w:hAnsi="Times New Roman" w:cs="Times New Roman"/>
          <w:sz w:val="24"/>
          <w:szCs w:val="24"/>
          <w:vertAlign w:val="subscript"/>
        </w:rPr>
        <w:t>H</w:t>
      </w:r>
      <w:r w:rsidRPr="001A0328">
        <w:rPr>
          <w:rFonts w:ascii="Times New Roman" w:hAnsi="Times New Roman" w:cs="Times New Roman"/>
          <w:sz w:val="24"/>
          <w:szCs w:val="24"/>
        </w:rPr>
        <w:t>+θ</w:t>
      </w:r>
      <w:r w:rsidRPr="001A0328">
        <w:rPr>
          <w:rFonts w:ascii="Times New Roman" w:hAnsi="Times New Roman" w:cs="Times New Roman"/>
          <w:sz w:val="24"/>
          <w:szCs w:val="24"/>
          <w:vertAlign w:val="subscript"/>
        </w:rPr>
        <w:t>N</w:t>
      </w:r>
      <w:r w:rsidRPr="001A0328">
        <w:rPr>
          <w:rFonts w:ascii="Cambria Math" w:hAnsi="Cambria Math" w:cs="Cambria Math"/>
          <w:sz w:val="24"/>
          <w:szCs w:val="24"/>
        </w:rPr>
        <w:t>⟩</w:t>
      </w:r>
      <w:r w:rsidRPr="001A0328">
        <w:rPr>
          <w:rFonts w:ascii="Times New Roman" w:hAnsi="Times New Roman" w:cs="Times New Roman"/>
          <w:sz w:val="24"/>
          <w:szCs w:val="24"/>
        </w:rPr>
        <w:t xml:space="preserve"> across a range of hydrogen chemical potentials (μ</w:t>
      </w:r>
      <w:r w:rsidRPr="001A0328">
        <w:rPr>
          <w:rFonts w:ascii="Times New Roman" w:hAnsi="Times New Roman" w:cs="Times New Roman"/>
          <w:sz w:val="24"/>
          <w:szCs w:val="24"/>
          <w:vertAlign w:val="subscript"/>
        </w:rPr>
        <w:t>H</w:t>
      </w:r>
      <w:r w:rsidRPr="001A0328">
        <w:rPr>
          <w:rFonts w:ascii="Times New Roman" w:hAnsi="Times New Roman" w:cs="Times New Roman"/>
          <w:sz w:val="24"/>
          <w:szCs w:val="24"/>
        </w:rPr>
        <w:t>) and temperatures (T). The bottom row displays the lattice configurations at specific values of μ</w:t>
      </w:r>
      <w:r w:rsidRPr="001A0328">
        <w:rPr>
          <w:rFonts w:ascii="Times New Roman" w:hAnsi="Times New Roman" w:cs="Times New Roman"/>
          <w:sz w:val="24"/>
          <w:szCs w:val="24"/>
          <w:vertAlign w:val="subscript"/>
        </w:rPr>
        <w:t>H</w:t>
      </w:r>
      <w:r w:rsidRPr="001A0328">
        <w:rPr>
          <w:rFonts w:ascii="Times New Roman" w:hAnsi="Times New Roman" w:cs="Times New Roman"/>
          <w:sz w:val="24"/>
          <w:szCs w:val="24"/>
        </w:rPr>
        <w:t>​ and T, providing a visual representation of how the adsorbates distribute on the lattice under different conditions.</w:t>
      </w:r>
    </w:p>
    <w:p w14:paraId="61FD6DF1" w14:textId="33F9CCEB" w:rsidR="001A0328" w:rsidRPr="001A0328" w:rsidRDefault="00D90608" w:rsidP="001D16EC">
      <w:pPr>
        <w:spacing w:line="360" w:lineRule="auto"/>
        <w:ind w:firstLine="360"/>
        <w:jc w:val="both"/>
        <w:rPr>
          <w:rFonts w:ascii="Times New Roman" w:hAnsi="Times New Roman" w:cs="Times New Roman"/>
          <w:sz w:val="24"/>
          <w:szCs w:val="24"/>
        </w:rPr>
      </w:pPr>
      <w:r>
        <w:rPr>
          <w:rFonts w:ascii="Times New Roman" w:hAnsi="Times New Roman" w:cs="Times New Roman" w:hint="eastAsia"/>
          <w:sz w:val="24"/>
          <w:szCs w:val="24"/>
        </w:rPr>
        <w:t>The hydrogen, nitrogen, and combined coverage diagrams are shown in</w:t>
      </w:r>
      <w:r w:rsidR="002018CC">
        <w:rPr>
          <w:rFonts w:ascii="Times New Roman" w:hAnsi="Times New Roman" w:cs="Times New Roman" w:hint="eastAsia"/>
          <w:sz w:val="24"/>
          <w:szCs w:val="24"/>
        </w:rPr>
        <w:t xml:space="preserve"> </w:t>
      </w:r>
      <w:r w:rsidR="002018CC" w:rsidRPr="0003027C">
        <w:rPr>
          <w:rFonts w:ascii="Times New Roman" w:hAnsi="Times New Roman" w:cs="Times New Roman" w:hint="eastAsia"/>
          <w:b/>
          <w:bCs/>
          <w:sz w:val="24"/>
          <w:szCs w:val="24"/>
        </w:rPr>
        <w:t xml:space="preserve">Figure </w:t>
      </w:r>
      <w:r w:rsidR="002018CC">
        <w:rPr>
          <w:rFonts w:ascii="Times New Roman" w:hAnsi="Times New Roman" w:cs="Times New Roman" w:hint="eastAsia"/>
          <w:b/>
          <w:bCs/>
          <w:sz w:val="24"/>
          <w:szCs w:val="24"/>
        </w:rPr>
        <w:t>2</w:t>
      </w:r>
      <w:r w:rsidR="002018CC" w:rsidRPr="0003027C">
        <w:rPr>
          <w:rFonts w:ascii="Times New Roman" w:hAnsi="Times New Roman" w:cs="Times New Roman" w:hint="eastAsia"/>
          <w:b/>
          <w:bCs/>
          <w:sz w:val="24"/>
          <w:szCs w:val="24"/>
        </w:rPr>
        <w:t>A</w:t>
      </w:r>
      <w:r w:rsidR="002018CC">
        <w:rPr>
          <w:rFonts w:ascii="Times New Roman" w:hAnsi="Times New Roman" w:cs="Times New Roman" w:hint="eastAsia"/>
          <w:b/>
          <w:bCs/>
          <w:sz w:val="24"/>
          <w:szCs w:val="24"/>
        </w:rPr>
        <w:t>.</w:t>
      </w:r>
      <w:r w:rsidR="002018CC" w:rsidRPr="001A0328">
        <w:rPr>
          <w:rFonts w:ascii="Times New Roman" w:hAnsi="Times New Roman" w:cs="Times New Roman"/>
          <w:sz w:val="24"/>
          <w:szCs w:val="24"/>
        </w:rPr>
        <w:t xml:space="preserve"> </w:t>
      </w:r>
      <w:r w:rsidR="002018CC">
        <w:rPr>
          <w:rFonts w:ascii="Times New Roman" w:hAnsi="Times New Roman" w:cs="Times New Roman" w:hint="eastAsia"/>
          <w:sz w:val="24"/>
          <w:szCs w:val="24"/>
        </w:rPr>
        <w:t>The ph</w:t>
      </w:r>
      <w:r w:rsidR="001A0328" w:rsidRPr="001A0328">
        <w:rPr>
          <w:rFonts w:ascii="Times New Roman" w:hAnsi="Times New Roman" w:cs="Times New Roman"/>
          <w:sz w:val="24"/>
          <w:szCs w:val="24"/>
        </w:rPr>
        <w:t>ase diagram</w:t>
      </w:r>
      <w:r w:rsidR="002018CC">
        <w:rPr>
          <w:rFonts w:ascii="Times New Roman" w:hAnsi="Times New Roman" w:cs="Times New Roman" w:hint="eastAsia"/>
          <w:sz w:val="24"/>
          <w:szCs w:val="24"/>
        </w:rPr>
        <w:t xml:space="preserve"> of</w:t>
      </w:r>
      <w:r w:rsidR="001A0328" w:rsidRPr="001A0328">
        <w:rPr>
          <w:rFonts w:ascii="Times New Roman" w:hAnsi="Times New Roman" w:cs="Times New Roman"/>
          <w:sz w:val="24"/>
          <w:szCs w:val="24"/>
        </w:rPr>
        <w:t xml:space="preserve"> hydrogen coverage </w:t>
      </w:r>
      <w:r w:rsidR="001A0328" w:rsidRPr="001A0328">
        <w:rPr>
          <w:rFonts w:ascii="Cambria Math" w:hAnsi="Cambria Math" w:cs="Cambria Math"/>
          <w:sz w:val="24"/>
          <w:szCs w:val="24"/>
        </w:rPr>
        <w:t>⟨</w:t>
      </w:r>
      <w:r w:rsidR="001A0328" w:rsidRPr="001A0328">
        <w:rPr>
          <w:rFonts w:ascii="Times New Roman" w:hAnsi="Times New Roman" w:cs="Times New Roman"/>
          <w:sz w:val="24"/>
          <w:szCs w:val="24"/>
        </w:rPr>
        <w:t>θ</w:t>
      </w:r>
      <w:r w:rsidR="001A0328" w:rsidRPr="001A0328">
        <w:rPr>
          <w:rFonts w:ascii="Times New Roman" w:hAnsi="Times New Roman" w:cs="Times New Roman"/>
          <w:sz w:val="24"/>
          <w:szCs w:val="24"/>
          <w:vertAlign w:val="subscript"/>
        </w:rPr>
        <w:t>H</w:t>
      </w:r>
      <w:r w:rsidR="001A0328" w:rsidRPr="001A0328">
        <w:rPr>
          <w:rFonts w:ascii="Cambria Math" w:hAnsi="Cambria Math" w:cs="Cambria Math"/>
          <w:sz w:val="24"/>
          <w:szCs w:val="24"/>
        </w:rPr>
        <w:t>⟩</w:t>
      </w:r>
      <w:r w:rsidR="001A0328" w:rsidRPr="001A0328">
        <w:rPr>
          <w:rFonts w:ascii="Times New Roman" w:hAnsi="Times New Roman" w:cs="Times New Roman"/>
          <w:sz w:val="24"/>
          <w:szCs w:val="24"/>
        </w:rPr>
        <w:t xml:space="preserve"> increases as μ</w:t>
      </w:r>
      <w:r w:rsidR="001A0328" w:rsidRPr="001A0328">
        <w:rPr>
          <w:rFonts w:ascii="Times New Roman" w:hAnsi="Times New Roman" w:cs="Times New Roman"/>
          <w:sz w:val="24"/>
          <w:szCs w:val="24"/>
          <w:vertAlign w:val="subscript"/>
        </w:rPr>
        <w:t>H</w:t>
      </w:r>
      <w:r w:rsidR="001A0328" w:rsidRPr="001A0328">
        <w:rPr>
          <w:rFonts w:ascii="Times New Roman" w:hAnsi="Times New Roman" w:cs="Times New Roman"/>
          <w:sz w:val="24"/>
          <w:szCs w:val="24"/>
        </w:rPr>
        <w:t xml:space="preserve">​ becomes more positive, especially at low temperatures, indicating that hydrogen adsorption is highly sensitive to changes in chemical potential. As </w:t>
      </w:r>
      <w:r w:rsidR="00BB23E7">
        <w:rPr>
          <w:rFonts w:ascii="Times New Roman" w:hAnsi="Times New Roman" w:cs="Times New Roman" w:hint="eastAsia"/>
          <w:sz w:val="24"/>
          <w:szCs w:val="24"/>
        </w:rPr>
        <w:t>temperature</w:t>
      </w:r>
      <w:r w:rsidR="001A0328" w:rsidRPr="001A0328">
        <w:rPr>
          <w:rFonts w:ascii="Times New Roman" w:hAnsi="Times New Roman" w:cs="Times New Roman"/>
          <w:sz w:val="24"/>
          <w:szCs w:val="24"/>
        </w:rPr>
        <w:t xml:space="preserve"> rises, the hydrogen coverage decreases, showing the effect of thermal desorption. Nitrogen coverage </w:t>
      </w:r>
      <w:r w:rsidR="001A0328" w:rsidRPr="001A0328">
        <w:rPr>
          <w:rFonts w:ascii="Cambria Math" w:hAnsi="Cambria Math" w:cs="Cambria Math"/>
          <w:sz w:val="24"/>
          <w:szCs w:val="24"/>
        </w:rPr>
        <w:t>⟨</w:t>
      </w:r>
      <w:r w:rsidR="001A0328" w:rsidRPr="001A0328">
        <w:rPr>
          <w:rFonts w:ascii="Times New Roman" w:hAnsi="Times New Roman" w:cs="Times New Roman"/>
          <w:sz w:val="24"/>
          <w:szCs w:val="24"/>
        </w:rPr>
        <w:t>θ</w:t>
      </w:r>
      <w:r w:rsidR="001A0328" w:rsidRPr="001A0328">
        <w:rPr>
          <w:rFonts w:ascii="Times New Roman" w:hAnsi="Times New Roman" w:cs="Times New Roman"/>
          <w:sz w:val="24"/>
          <w:szCs w:val="24"/>
          <w:vertAlign w:val="subscript"/>
        </w:rPr>
        <w:t>N</w:t>
      </w:r>
      <w:r w:rsidR="001A0328" w:rsidRPr="001A0328">
        <w:rPr>
          <w:rFonts w:ascii="Cambria Math" w:hAnsi="Cambria Math" w:cs="Cambria Math"/>
          <w:sz w:val="24"/>
          <w:szCs w:val="24"/>
        </w:rPr>
        <w:t>⟩</w:t>
      </w:r>
      <w:r w:rsidR="001A0328" w:rsidRPr="001A0328">
        <w:rPr>
          <w:rFonts w:ascii="Times New Roman" w:hAnsi="Times New Roman" w:cs="Times New Roman"/>
          <w:sz w:val="24"/>
          <w:szCs w:val="24"/>
        </w:rPr>
        <w:t xml:space="preserve"> remains low across the range of μ</w:t>
      </w:r>
      <w:r w:rsidR="001A0328" w:rsidRPr="001A0328">
        <w:rPr>
          <w:rFonts w:ascii="Times New Roman" w:hAnsi="Times New Roman" w:cs="Times New Roman"/>
          <w:sz w:val="24"/>
          <w:szCs w:val="24"/>
          <w:vertAlign w:val="subscript"/>
        </w:rPr>
        <w:t>H</w:t>
      </w:r>
      <w:r w:rsidR="001A0328" w:rsidRPr="001A0328">
        <w:rPr>
          <w:rFonts w:ascii="Times New Roman" w:hAnsi="Times New Roman" w:cs="Times New Roman"/>
          <w:sz w:val="24"/>
          <w:szCs w:val="24"/>
        </w:rPr>
        <w:t>​ values, reflecting its lower affinity for the lattice compared to hydrogen. Only at very low μ</w:t>
      </w:r>
      <w:r w:rsidR="001A0328" w:rsidRPr="001A0328">
        <w:rPr>
          <w:rFonts w:ascii="Times New Roman" w:hAnsi="Times New Roman" w:cs="Times New Roman"/>
          <w:sz w:val="24"/>
          <w:szCs w:val="24"/>
          <w:vertAlign w:val="subscript"/>
        </w:rPr>
        <w:t>H</w:t>
      </w:r>
      <w:r w:rsidR="00FC7CE5" w:rsidRPr="001A0328">
        <w:rPr>
          <w:rFonts w:ascii="Times New Roman" w:hAnsi="Times New Roman" w:cs="Times New Roman"/>
          <w:sz w:val="24"/>
          <w:szCs w:val="24"/>
        </w:rPr>
        <w:t xml:space="preserve"> </w:t>
      </w:r>
      <w:r w:rsidR="001A0328" w:rsidRPr="001A0328">
        <w:rPr>
          <w:rFonts w:ascii="Times New Roman" w:hAnsi="Times New Roman" w:cs="Times New Roman"/>
          <w:sz w:val="24"/>
          <w:szCs w:val="24"/>
        </w:rPr>
        <w:t xml:space="preserve">​and low temperatures does nitrogen adsorption slightly increase, as hydrogen becomes less competitive for adsorption sites. The combined coverage </w:t>
      </w:r>
      <w:r w:rsidR="001A0328" w:rsidRPr="001A0328">
        <w:rPr>
          <w:rFonts w:ascii="Cambria Math" w:hAnsi="Cambria Math" w:cs="Cambria Math"/>
          <w:sz w:val="24"/>
          <w:szCs w:val="24"/>
        </w:rPr>
        <w:t>⟨</w:t>
      </w:r>
      <w:r w:rsidR="001A0328" w:rsidRPr="001A0328">
        <w:rPr>
          <w:rFonts w:ascii="Times New Roman" w:hAnsi="Times New Roman" w:cs="Times New Roman"/>
          <w:sz w:val="24"/>
          <w:szCs w:val="24"/>
        </w:rPr>
        <w:t>θ</w:t>
      </w:r>
      <w:r w:rsidR="001A0328" w:rsidRPr="001A0328">
        <w:rPr>
          <w:rFonts w:ascii="Times New Roman" w:hAnsi="Times New Roman" w:cs="Times New Roman"/>
          <w:sz w:val="24"/>
          <w:szCs w:val="24"/>
          <w:vertAlign w:val="subscript"/>
        </w:rPr>
        <w:t>H</w:t>
      </w:r>
      <w:r w:rsidR="001A0328" w:rsidRPr="001A0328">
        <w:rPr>
          <w:rFonts w:ascii="Times New Roman" w:hAnsi="Times New Roman" w:cs="Times New Roman"/>
          <w:sz w:val="24"/>
          <w:szCs w:val="24"/>
        </w:rPr>
        <w:t>+θ</w:t>
      </w:r>
      <w:r w:rsidR="001A0328" w:rsidRPr="001A0328">
        <w:rPr>
          <w:rFonts w:ascii="Times New Roman" w:hAnsi="Times New Roman" w:cs="Times New Roman"/>
          <w:sz w:val="24"/>
          <w:szCs w:val="24"/>
          <w:vertAlign w:val="subscript"/>
        </w:rPr>
        <w:t>N</w:t>
      </w:r>
      <w:r w:rsidR="001A0328" w:rsidRPr="001A0328">
        <w:rPr>
          <w:rFonts w:ascii="Cambria Math" w:hAnsi="Cambria Math" w:cs="Cambria Math"/>
          <w:sz w:val="24"/>
          <w:szCs w:val="24"/>
        </w:rPr>
        <w:t>⟩</w:t>
      </w:r>
      <w:r w:rsidR="001A0328" w:rsidRPr="001A0328">
        <w:rPr>
          <w:rFonts w:ascii="Times New Roman" w:hAnsi="Times New Roman" w:cs="Times New Roman"/>
          <w:sz w:val="24"/>
          <w:szCs w:val="24"/>
        </w:rPr>
        <w:t xml:space="preserve"> shows that hydrogen tends to dominate the lattice, particularly when μ</w:t>
      </w:r>
      <w:r w:rsidR="001A0328" w:rsidRPr="001A0328">
        <w:rPr>
          <w:rFonts w:ascii="Times New Roman" w:hAnsi="Times New Roman" w:cs="Times New Roman"/>
          <w:sz w:val="24"/>
          <w:szCs w:val="24"/>
          <w:vertAlign w:val="subscript"/>
        </w:rPr>
        <w:t>H</w:t>
      </w:r>
      <w:r w:rsidR="001A0328" w:rsidRPr="001A0328">
        <w:rPr>
          <w:rFonts w:ascii="Times New Roman" w:hAnsi="Times New Roman" w:cs="Times New Roman"/>
          <w:sz w:val="24"/>
          <w:szCs w:val="24"/>
        </w:rPr>
        <w:t>​ is closer to 0 eV, outcompeting nitrogen for adsorption sites.</w:t>
      </w:r>
    </w:p>
    <w:p w14:paraId="526F95B5" w14:textId="128DB61D" w:rsidR="001A0328" w:rsidRPr="001A0328" w:rsidRDefault="001A0328" w:rsidP="001D16EC">
      <w:pPr>
        <w:spacing w:line="360" w:lineRule="auto"/>
        <w:ind w:firstLine="360"/>
        <w:jc w:val="both"/>
        <w:rPr>
          <w:rFonts w:ascii="Times New Roman" w:hAnsi="Times New Roman" w:cs="Times New Roman"/>
          <w:sz w:val="24"/>
          <w:szCs w:val="24"/>
        </w:rPr>
      </w:pPr>
      <w:r w:rsidRPr="001A0328">
        <w:rPr>
          <w:rFonts w:ascii="Times New Roman" w:hAnsi="Times New Roman" w:cs="Times New Roman"/>
          <w:sz w:val="24"/>
          <w:szCs w:val="24"/>
        </w:rPr>
        <w:t>The lattice configurations provide further insight into these trends</w:t>
      </w:r>
      <w:r w:rsidR="002E62DB">
        <w:rPr>
          <w:rFonts w:ascii="Times New Roman" w:hAnsi="Times New Roman" w:cs="Times New Roman" w:hint="eastAsia"/>
          <w:sz w:val="24"/>
          <w:szCs w:val="24"/>
        </w:rPr>
        <w:t xml:space="preserve"> (</w:t>
      </w:r>
      <w:r w:rsidR="002E62DB" w:rsidRPr="002E62DB">
        <w:rPr>
          <w:rFonts w:ascii="Times New Roman" w:hAnsi="Times New Roman" w:cs="Times New Roman" w:hint="eastAsia"/>
          <w:b/>
          <w:bCs/>
          <w:sz w:val="24"/>
          <w:szCs w:val="24"/>
        </w:rPr>
        <w:t>Figure 2B</w:t>
      </w:r>
      <w:r w:rsidR="002E62DB">
        <w:rPr>
          <w:rFonts w:ascii="Times New Roman" w:hAnsi="Times New Roman" w:cs="Times New Roman" w:hint="eastAsia"/>
          <w:sz w:val="24"/>
          <w:szCs w:val="24"/>
        </w:rPr>
        <w:t>)</w:t>
      </w:r>
      <w:r w:rsidRPr="001A0328">
        <w:rPr>
          <w:rFonts w:ascii="Times New Roman" w:hAnsi="Times New Roman" w:cs="Times New Roman"/>
          <w:sz w:val="24"/>
          <w:szCs w:val="24"/>
        </w:rPr>
        <w:t>. At μ</w:t>
      </w:r>
      <w:r w:rsidRPr="001A0328">
        <w:rPr>
          <w:rFonts w:ascii="Times New Roman" w:hAnsi="Times New Roman" w:cs="Times New Roman"/>
          <w:sz w:val="24"/>
          <w:szCs w:val="24"/>
          <w:vertAlign w:val="subscript"/>
        </w:rPr>
        <w:t>H</w:t>
      </w:r>
      <w:r w:rsidR="005A4145">
        <w:rPr>
          <w:rFonts w:ascii="Times New Roman" w:hAnsi="Times New Roman" w:cs="Times New Roman" w:hint="eastAsia"/>
          <w:sz w:val="24"/>
          <w:szCs w:val="24"/>
        </w:rPr>
        <w:t xml:space="preserve"> </w:t>
      </w:r>
      <w:r w:rsidRPr="001A0328">
        <w:rPr>
          <w:rFonts w:ascii="Times New Roman" w:hAnsi="Times New Roman" w:cs="Times New Roman"/>
          <w:sz w:val="24"/>
          <w:szCs w:val="24"/>
        </w:rPr>
        <w:t>=</w:t>
      </w:r>
      <w:r w:rsidR="005A4145">
        <w:rPr>
          <w:rFonts w:ascii="Times New Roman" w:hAnsi="Times New Roman" w:cs="Times New Roman" w:hint="eastAsia"/>
          <w:sz w:val="24"/>
          <w:szCs w:val="24"/>
        </w:rPr>
        <w:t xml:space="preserve"> </w:t>
      </w:r>
      <w:r w:rsidRPr="001A0328">
        <w:rPr>
          <w:rFonts w:ascii="Times New Roman" w:hAnsi="Times New Roman" w:cs="Times New Roman"/>
          <w:sz w:val="24"/>
          <w:szCs w:val="24"/>
        </w:rPr>
        <w:t>−0.2 eV and T=</w:t>
      </w:r>
      <w:r w:rsidR="00A1088A">
        <w:rPr>
          <w:rFonts w:ascii="Times New Roman" w:hAnsi="Times New Roman" w:cs="Times New Roman" w:hint="eastAsia"/>
          <w:sz w:val="24"/>
          <w:szCs w:val="24"/>
        </w:rPr>
        <w:t>116 K</w:t>
      </w:r>
      <w:r w:rsidRPr="001A0328">
        <w:rPr>
          <w:rFonts w:ascii="Times New Roman" w:hAnsi="Times New Roman" w:cs="Times New Roman"/>
          <w:sz w:val="24"/>
          <w:szCs w:val="24"/>
        </w:rPr>
        <w:t xml:space="preserve">, </w:t>
      </w:r>
      <w:r w:rsidR="00CD0805">
        <w:rPr>
          <w:rFonts w:ascii="Times New Roman" w:hAnsi="Times New Roman" w:cs="Times New Roman" w:hint="eastAsia"/>
          <w:sz w:val="24"/>
          <w:szCs w:val="24"/>
        </w:rPr>
        <w:t>nitrogen</w:t>
      </w:r>
      <w:r w:rsidRPr="001A0328">
        <w:rPr>
          <w:rFonts w:ascii="Times New Roman" w:hAnsi="Times New Roman" w:cs="Times New Roman"/>
          <w:sz w:val="24"/>
          <w:szCs w:val="24"/>
        </w:rPr>
        <w:t xml:space="preserve"> atoms are sparsely distributed, with </w:t>
      </w:r>
      <w:r w:rsidR="008C1AD8">
        <w:rPr>
          <w:rFonts w:ascii="Times New Roman" w:hAnsi="Times New Roman" w:cs="Times New Roman" w:hint="eastAsia"/>
          <w:sz w:val="24"/>
          <w:szCs w:val="24"/>
        </w:rPr>
        <w:t xml:space="preserve">one </w:t>
      </w:r>
      <w:r w:rsidR="00C17F64">
        <w:rPr>
          <w:rFonts w:ascii="Times New Roman" w:hAnsi="Times New Roman" w:cs="Times New Roman" w:hint="eastAsia"/>
          <w:sz w:val="24"/>
          <w:szCs w:val="24"/>
        </w:rPr>
        <w:t>hydrogen</w:t>
      </w:r>
      <w:r w:rsidRPr="001A0328">
        <w:rPr>
          <w:rFonts w:ascii="Times New Roman" w:hAnsi="Times New Roman" w:cs="Times New Roman"/>
          <w:sz w:val="24"/>
          <w:szCs w:val="24"/>
        </w:rPr>
        <w:t xml:space="preserve"> atom</w:t>
      </w:r>
      <w:r w:rsidR="00387149">
        <w:rPr>
          <w:rFonts w:ascii="Times New Roman" w:hAnsi="Times New Roman" w:cs="Times New Roman" w:hint="eastAsia"/>
          <w:sz w:val="24"/>
          <w:szCs w:val="24"/>
        </w:rPr>
        <w:t xml:space="preserve"> </w:t>
      </w:r>
      <w:r w:rsidRPr="001A0328">
        <w:rPr>
          <w:rFonts w:ascii="Times New Roman" w:hAnsi="Times New Roman" w:cs="Times New Roman"/>
          <w:sz w:val="24"/>
          <w:szCs w:val="24"/>
        </w:rPr>
        <w:t>appearing in isolated positions. As μ</w:t>
      </w:r>
      <w:r w:rsidR="00B373BB" w:rsidRPr="00B373BB">
        <w:rPr>
          <w:rFonts w:ascii="Times New Roman" w:hAnsi="Times New Roman" w:cs="Times New Roman" w:hint="eastAsia"/>
          <w:sz w:val="24"/>
          <w:szCs w:val="24"/>
          <w:vertAlign w:val="subscript"/>
        </w:rPr>
        <w:t>H</w:t>
      </w:r>
      <w:r w:rsidRPr="001A0328">
        <w:rPr>
          <w:rFonts w:ascii="Times New Roman" w:hAnsi="Times New Roman" w:cs="Times New Roman"/>
          <w:sz w:val="24"/>
          <w:szCs w:val="24"/>
        </w:rPr>
        <w:t xml:space="preserve"> increases to -0.1 eV, more hydrogen atoms appear on the lattice</w:t>
      </w:r>
      <w:r w:rsidR="00995E27">
        <w:rPr>
          <w:rFonts w:ascii="Times New Roman" w:hAnsi="Times New Roman" w:cs="Times New Roman" w:hint="eastAsia"/>
          <w:sz w:val="24"/>
          <w:szCs w:val="24"/>
        </w:rPr>
        <w:t xml:space="preserve"> and </w:t>
      </w:r>
      <w:r w:rsidRPr="001A0328">
        <w:rPr>
          <w:rFonts w:ascii="Times New Roman" w:hAnsi="Times New Roman" w:cs="Times New Roman"/>
          <w:sz w:val="24"/>
          <w:szCs w:val="24"/>
        </w:rPr>
        <w:t>the availability of sites for nitrogen</w:t>
      </w:r>
      <w:r w:rsidR="00995E27">
        <w:rPr>
          <w:rFonts w:ascii="Times New Roman" w:hAnsi="Times New Roman" w:cs="Times New Roman" w:hint="eastAsia"/>
          <w:sz w:val="24"/>
          <w:szCs w:val="24"/>
        </w:rPr>
        <w:t xml:space="preserve"> was reduced</w:t>
      </w:r>
      <w:r w:rsidRPr="001A0328">
        <w:rPr>
          <w:rFonts w:ascii="Times New Roman" w:hAnsi="Times New Roman" w:cs="Times New Roman"/>
          <w:sz w:val="24"/>
          <w:szCs w:val="24"/>
        </w:rPr>
        <w:t>. Finally, at μ</w:t>
      </w:r>
      <w:r w:rsidRPr="001A0328">
        <w:rPr>
          <w:rFonts w:ascii="Times New Roman" w:hAnsi="Times New Roman" w:cs="Times New Roman"/>
          <w:sz w:val="24"/>
          <w:szCs w:val="24"/>
          <w:vertAlign w:val="subscript"/>
        </w:rPr>
        <w:t>H</w:t>
      </w:r>
      <w:r w:rsidRPr="001A0328">
        <w:rPr>
          <w:rFonts w:ascii="Times New Roman" w:hAnsi="Times New Roman" w:cs="Times New Roman"/>
          <w:sz w:val="24"/>
          <w:szCs w:val="24"/>
        </w:rPr>
        <w:t xml:space="preserve">=0 </w:t>
      </w:r>
      <w:r w:rsidR="00142B45">
        <w:rPr>
          <w:rFonts w:ascii="Times New Roman" w:hAnsi="Times New Roman" w:cs="Times New Roman" w:hint="eastAsia"/>
          <w:sz w:val="24"/>
          <w:szCs w:val="24"/>
        </w:rPr>
        <w:t>at the same</w:t>
      </w:r>
      <w:r w:rsidRPr="001A0328">
        <w:rPr>
          <w:rFonts w:ascii="Times New Roman" w:hAnsi="Times New Roman" w:cs="Times New Roman"/>
          <w:sz w:val="24"/>
          <w:szCs w:val="24"/>
        </w:rPr>
        <w:t xml:space="preserve"> temperature, the lattice becomes densely populated with hydrogen, leaving very few sites for nitrogen.</w:t>
      </w:r>
    </w:p>
    <w:p w14:paraId="241A6C57" w14:textId="3D083D13" w:rsidR="00834461" w:rsidRDefault="00DA6879" w:rsidP="001D16EC">
      <w:pPr>
        <w:spacing w:line="360" w:lineRule="auto"/>
        <w:ind w:firstLine="360"/>
        <w:jc w:val="both"/>
        <w:rPr>
          <w:rFonts w:ascii="Times New Roman" w:hAnsi="Times New Roman" w:cs="Times New Roman"/>
          <w:sz w:val="24"/>
          <w:szCs w:val="24"/>
        </w:rPr>
      </w:pPr>
      <w:r w:rsidRPr="00DA6879">
        <w:rPr>
          <w:rFonts w:ascii="Times New Roman" w:hAnsi="Times New Roman" w:cs="Times New Roman"/>
          <w:sz w:val="24"/>
          <w:szCs w:val="24"/>
        </w:rPr>
        <w:t>These results highlight that, under repulsive interactions, hydrogen shows a strong preference for adsorption at more favorable chemical potentials. Nitrogen only adsorbs significantly when hydrogen’s chemical potential is low. The competition between hydrogen and nitrogen for lattice sites becomes evident, especially as temperature rises and promotes thermal desorption. This combination of competitive adsorption and thermal effects shapes the adsorption landscape for both species.</w:t>
      </w:r>
    </w:p>
    <w:p w14:paraId="15ECF97D" w14:textId="77777777" w:rsidR="003E1FB8" w:rsidRDefault="003E1FB8" w:rsidP="001D16EC">
      <w:pPr>
        <w:spacing w:line="360" w:lineRule="auto"/>
        <w:ind w:firstLine="360"/>
        <w:jc w:val="both"/>
        <w:rPr>
          <w:rFonts w:ascii="Times New Roman" w:hAnsi="Times New Roman" w:cs="Times New Roman"/>
          <w:sz w:val="24"/>
          <w:szCs w:val="24"/>
        </w:rPr>
      </w:pPr>
    </w:p>
    <w:p w14:paraId="14E029F7" w14:textId="77777777" w:rsidR="003E1FB8" w:rsidRPr="00834461" w:rsidRDefault="003E1FB8" w:rsidP="001D16EC">
      <w:pPr>
        <w:spacing w:line="360" w:lineRule="auto"/>
        <w:ind w:firstLine="360"/>
        <w:jc w:val="both"/>
        <w:rPr>
          <w:rFonts w:ascii="Times New Roman" w:hAnsi="Times New Roman" w:cs="Times New Roman"/>
          <w:sz w:val="24"/>
          <w:szCs w:val="24"/>
        </w:rPr>
      </w:pPr>
    </w:p>
    <w:p w14:paraId="24BAFB7B" w14:textId="78221D83" w:rsidR="00834461" w:rsidRPr="00834461" w:rsidRDefault="00834461" w:rsidP="001D16EC">
      <w:pPr>
        <w:pStyle w:val="a3"/>
        <w:numPr>
          <w:ilvl w:val="1"/>
          <w:numId w:val="15"/>
        </w:numPr>
        <w:spacing w:line="360" w:lineRule="auto"/>
        <w:ind w:leftChars="0"/>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Pr="00834461">
        <w:rPr>
          <w:rFonts w:ascii="Times New Roman" w:hAnsi="Times New Roman" w:cs="Times New Roman"/>
          <w:b/>
          <w:bCs/>
          <w:sz w:val="24"/>
          <w:szCs w:val="24"/>
        </w:rPr>
        <w:t>Attractive Interactions</w:t>
      </w:r>
      <w:r w:rsidR="00896C6B">
        <w:rPr>
          <w:rFonts w:ascii="Times New Roman" w:hAnsi="Times New Roman" w:cs="Times New Roman" w:hint="eastAsia"/>
          <w:b/>
          <w:bCs/>
          <w:sz w:val="24"/>
          <w:szCs w:val="24"/>
        </w:rPr>
        <w:t xml:space="preserve"> Scenario</w:t>
      </w:r>
    </w:p>
    <w:p w14:paraId="009C7E3B" w14:textId="7E1921BC" w:rsidR="00373495" w:rsidRDefault="00A52D56" w:rsidP="003E1FB8">
      <w:pPr>
        <w:spacing w:line="360" w:lineRule="auto"/>
        <w:ind w:firstLine="360"/>
        <w:jc w:val="center"/>
        <w:rPr>
          <w:rFonts w:ascii="Times New Roman" w:hAnsi="Times New Roman" w:cs="Times New Roman"/>
          <w:sz w:val="24"/>
          <w:szCs w:val="24"/>
        </w:rPr>
      </w:pPr>
      <w:r>
        <w:rPr>
          <w:noProof/>
        </w:rPr>
        <w:drawing>
          <wp:inline distT="0" distB="0" distL="0" distR="0" wp14:anchorId="0C60D4E4" wp14:editId="40211CFA">
            <wp:extent cx="5104960" cy="3531475"/>
            <wp:effectExtent l="0" t="0" r="635" b="0"/>
            <wp:docPr id="875754343"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6613" cy="3539537"/>
                    </a:xfrm>
                    <a:prstGeom prst="rect">
                      <a:avLst/>
                    </a:prstGeom>
                    <a:noFill/>
                    <a:ln>
                      <a:noFill/>
                    </a:ln>
                  </pic:spPr>
                </pic:pic>
              </a:graphicData>
            </a:graphic>
          </wp:inline>
        </w:drawing>
      </w:r>
    </w:p>
    <w:p w14:paraId="59505BE1" w14:textId="5E5351A8" w:rsidR="001813B9" w:rsidRPr="001813B9" w:rsidRDefault="001813B9" w:rsidP="001813B9">
      <w:pPr>
        <w:pStyle w:val="a4"/>
        <w:spacing w:line="360" w:lineRule="auto"/>
        <w:rPr>
          <w:rFonts w:eastAsiaTheme="minorEastAsia"/>
          <w:kern w:val="2"/>
          <w14:ligatures w14:val="standardContextual"/>
        </w:rPr>
      </w:pPr>
      <w:r>
        <w:rPr>
          <w:rFonts w:eastAsiaTheme="minorEastAsia" w:hint="eastAsia"/>
          <w:b/>
          <w:bCs/>
          <w:kern w:val="2"/>
          <w14:ligatures w14:val="standardContextual"/>
        </w:rPr>
        <w:t>Figure</w:t>
      </w:r>
      <w:r w:rsidRPr="00CF6A51">
        <w:rPr>
          <w:rFonts w:eastAsiaTheme="minorEastAsia" w:hint="eastAsia"/>
          <w:b/>
          <w:bCs/>
          <w:kern w:val="2"/>
          <w14:ligatures w14:val="standardContextual"/>
        </w:rPr>
        <w:t xml:space="preserve"> </w:t>
      </w:r>
      <w:r>
        <w:rPr>
          <w:rFonts w:eastAsiaTheme="minorEastAsia" w:hint="eastAsia"/>
          <w:b/>
          <w:bCs/>
          <w:kern w:val="2"/>
          <w14:ligatures w14:val="standardContextual"/>
        </w:rPr>
        <w:t>3</w:t>
      </w:r>
      <w:r>
        <w:rPr>
          <w:rFonts w:eastAsiaTheme="minorEastAsia" w:hint="eastAsia"/>
          <w:kern w:val="2"/>
          <w14:ligatures w14:val="standardContextual"/>
        </w:rPr>
        <w:t>. (A) Phase diagram and (B) lattice for attractive interactions. The red circle denotes nitrogen and blue circle denotes hydrogen.</w:t>
      </w:r>
    </w:p>
    <w:p w14:paraId="1672CBEB" w14:textId="1B068DD5" w:rsidR="002A4CF2" w:rsidRPr="002A4CF2" w:rsidRDefault="002A4CF2" w:rsidP="001D16EC">
      <w:pPr>
        <w:spacing w:line="360" w:lineRule="auto"/>
        <w:ind w:firstLine="360"/>
        <w:jc w:val="both"/>
        <w:rPr>
          <w:rFonts w:ascii="Times New Roman" w:hAnsi="Times New Roman" w:cs="Times New Roman"/>
          <w:sz w:val="24"/>
          <w:szCs w:val="24"/>
        </w:rPr>
      </w:pPr>
      <w:r w:rsidRPr="002A4CF2">
        <w:rPr>
          <w:rFonts w:ascii="Times New Roman" w:hAnsi="Times New Roman" w:cs="Times New Roman"/>
          <w:sz w:val="24"/>
          <w:szCs w:val="24"/>
        </w:rPr>
        <w:t xml:space="preserve">In the case of attractive interactions, the results reveal different adsorption behavior for hydrogen and nitrogen on the lattice. The top row shows phase diagrams </w:t>
      </w:r>
      <w:r>
        <w:rPr>
          <w:rFonts w:ascii="Times New Roman" w:hAnsi="Times New Roman" w:cs="Times New Roman" w:hint="eastAsia"/>
          <w:sz w:val="24"/>
          <w:szCs w:val="24"/>
        </w:rPr>
        <w:t>and the</w:t>
      </w:r>
      <w:r w:rsidRPr="002A4CF2">
        <w:rPr>
          <w:rFonts w:ascii="Times New Roman" w:hAnsi="Times New Roman" w:cs="Times New Roman"/>
          <w:sz w:val="24"/>
          <w:szCs w:val="24"/>
        </w:rPr>
        <w:t xml:space="preserve"> bottom row presents lattice configurations at specific values of μ</w:t>
      </w:r>
      <w:r w:rsidRPr="00E21A5E">
        <w:rPr>
          <w:rFonts w:ascii="Times New Roman" w:hAnsi="Times New Roman" w:cs="Times New Roman"/>
          <w:sz w:val="24"/>
          <w:szCs w:val="24"/>
          <w:vertAlign w:val="subscript"/>
        </w:rPr>
        <w:t>H</w:t>
      </w:r>
      <w:r>
        <w:rPr>
          <w:rFonts w:ascii="Times New Roman" w:hAnsi="Times New Roman" w:cs="Times New Roman" w:hint="eastAsia"/>
          <w:sz w:val="24"/>
          <w:szCs w:val="24"/>
        </w:rPr>
        <w:t xml:space="preserve"> and</w:t>
      </w:r>
      <w:r w:rsidRPr="002A4CF2">
        <w:rPr>
          <w:rFonts w:ascii="Times New Roman" w:hAnsi="Times New Roman" w:cs="Times New Roman"/>
          <w:sz w:val="24"/>
          <w:szCs w:val="24"/>
        </w:rPr>
        <w:t xml:space="preserve"> T=116 K.</w:t>
      </w:r>
    </w:p>
    <w:p w14:paraId="6FE6DDC2" w14:textId="4EB81767" w:rsidR="002A4CF2" w:rsidRPr="00C14B05" w:rsidRDefault="00D90608" w:rsidP="001D16EC">
      <w:pPr>
        <w:spacing w:line="360" w:lineRule="auto"/>
        <w:ind w:firstLine="360"/>
        <w:jc w:val="both"/>
        <w:rPr>
          <w:rFonts w:ascii="Times New Roman" w:hAnsi="Times New Roman" w:cs="Times New Roman"/>
          <w:sz w:val="24"/>
          <w:szCs w:val="24"/>
        </w:rPr>
      </w:pPr>
      <w:r>
        <w:rPr>
          <w:rFonts w:ascii="Times New Roman" w:hAnsi="Times New Roman" w:cs="Times New Roman" w:hint="eastAsia"/>
          <w:sz w:val="24"/>
          <w:szCs w:val="24"/>
        </w:rPr>
        <w:t>The hydrogen, nitrogen, and combined coverage diagrams are shown in</w:t>
      </w:r>
      <w:r w:rsidR="002018CC">
        <w:rPr>
          <w:rFonts w:ascii="Times New Roman" w:hAnsi="Times New Roman" w:cs="Times New Roman" w:hint="eastAsia"/>
          <w:sz w:val="24"/>
          <w:szCs w:val="24"/>
        </w:rPr>
        <w:t xml:space="preserve"> </w:t>
      </w:r>
      <w:r w:rsidR="002018CC" w:rsidRPr="0003027C">
        <w:rPr>
          <w:rFonts w:ascii="Times New Roman" w:hAnsi="Times New Roman" w:cs="Times New Roman" w:hint="eastAsia"/>
          <w:b/>
          <w:bCs/>
          <w:sz w:val="24"/>
          <w:szCs w:val="24"/>
        </w:rPr>
        <w:t xml:space="preserve">Figure </w:t>
      </w:r>
      <w:r w:rsidR="002018CC">
        <w:rPr>
          <w:rFonts w:ascii="Times New Roman" w:hAnsi="Times New Roman" w:cs="Times New Roman" w:hint="eastAsia"/>
          <w:b/>
          <w:bCs/>
          <w:sz w:val="24"/>
          <w:szCs w:val="24"/>
        </w:rPr>
        <w:t>3</w:t>
      </w:r>
      <w:r w:rsidR="002018CC" w:rsidRPr="0003027C">
        <w:rPr>
          <w:rFonts w:ascii="Times New Roman" w:hAnsi="Times New Roman" w:cs="Times New Roman" w:hint="eastAsia"/>
          <w:b/>
          <w:bCs/>
          <w:sz w:val="24"/>
          <w:szCs w:val="24"/>
        </w:rPr>
        <w:t>A</w:t>
      </w:r>
      <w:r w:rsidR="002018CC">
        <w:rPr>
          <w:rFonts w:ascii="Times New Roman" w:hAnsi="Times New Roman" w:cs="Times New Roman" w:hint="eastAsia"/>
          <w:sz w:val="24"/>
          <w:szCs w:val="24"/>
        </w:rPr>
        <w:t xml:space="preserve">. </w:t>
      </w:r>
      <w:r w:rsidR="002A4CF2" w:rsidRPr="002A4CF2">
        <w:rPr>
          <w:rFonts w:ascii="Times New Roman" w:hAnsi="Times New Roman" w:cs="Times New Roman"/>
          <w:sz w:val="24"/>
          <w:szCs w:val="24"/>
        </w:rPr>
        <w:t xml:space="preserve">In the phase diagram for hydrogen coverage </w:t>
      </w:r>
      <w:r w:rsidR="002A4CF2" w:rsidRPr="002A4CF2">
        <w:rPr>
          <w:rFonts w:ascii="Cambria Math" w:hAnsi="Cambria Math" w:cs="Cambria Math"/>
          <w:sz w:val="24"/>
          <w:szCs w:val="24"/>
        </w:rPr>
        <w:t>⟨</w:t>
      </w:r>
      <w:r w:rsidR="002A4CF2" w:rsidRPr="002A4CF2">
        <w:rPr>
          <w:rFonts w:ascii="Times New Roman" w:hAnsi="Times New Roman" w:cs="Times New Roman"/>
          <w:sz w:val="24"/>
          <w:szCs w:val="24"/>
        </w:rPr>
        <w:t>θ</w:t>
      </w:r>
      <w:r w:rsidR="002A4CF2" w:rsidRPr="002A4CF2">
        <w:rPr>
          <w:rFonts w:ascii="Times New Roman" w:hAnsi="Times New Roman" w:cs="Times New Roman"/>
          <w:sz w:val="24"/>
          <w:szCs w:val="24"/>
          <w:vertAlign w:val="subscript"/>
        </w:rPr>
        <w:t>H</w:t>
      </w:r>
      <w:r w:rsidR="002A4CF2" w:rsidRPr="002A4CF2">
        <w:rPr>
          <w:rFonts w:ascii="Cambria Math" w:hAnsi="Cambria Math" w:cs="Cambria Math"/>
          <w:sz w:val="24"/>
          <w:szCs w:val="24"/>
        </w:rPr>
        <w:t>⟩</w:t>
      </w:r>
      <w:r w:rsidR="002A4CF2" w:rsidRPr="002A4CF2">
        <w:rPr>
          <w:rFonts w:ascii="Times New Roman" w:hAnsi="Times New Roman" w:cs="Times New Roman"/>
          <w:sz w:val="24"/>
          <w:szCs w:val="24"/>
        </w:rPr>
        <w:t>, the adsorption is moderate across a range of μ</w:t>
      </w:r>
      <w:r w:rsidR="002A4CF2" w:rsidRPr="002A4CF2">
        <w:rPr>
          <w:rFonts w:ascii="Times New Roman" w:hAnsi="Times New Roman" w:cs="Times New Roman"/>
          <w:sz w:val="24"/>
          <w:szCs w:val="24"/>
          <w:vertAlign w:val="subscript"/>
        </w:rPr>
        <w:t>H</w:t>
      </w:r>
      <w:r w:rsidR="002A4CF2" w:rsidRPr="002A4CF2">
        <w:rPr>
          <w:rFonts w:ascii="Times New Roman" w:hAnsi="Times New Roman" w:cs="Times New Roman"/>
          <w:sz w:val="24"/>
          <w:szCs w:val="24"/>
        </w:rPr>
        <w:t xml:space="preserve"> values at low temperatures</w:t>
      </w:r>
      <w:r w:rsidR="008E3815">
        <w:rPr>
          <w:rFonts w:ascii="Times New Roman" w:hAnsi="Times New Roman" w:cs="Times New Roman" w:hint="eastAsia"/>
          <w:sz w:val="24"/>
          <w:szCs w:val="24"/>
        </w:rPr>
        <w:t xml:space="preserve"> (</w:t>
      </w:r>
      <w:r w:rsidR="008E3815" w:rsidRPr="008E3815">
        <w:rPr>
          <w:rFonts w:ascii="Times New Roman" w:hAnsi="Times New Roman" w:cs="Times New Roman" w:hint="eastAsia"/>
          <w:b/>
          <w:bCs/>
          <w:sz w:val="24"/>
          <w:szCs w:val="24"/>
        </w:rPr>
        <w:t>Figure 3A</w:t>
      </w:r>
      <w:r w:rsidR="008E3815">
        <w:rPr>
          <w:rFonts w:ascii="Times New Roman" w:hAnsi="Times New Roman" w:cs="Times New Roman" w:hint="eastAsia"/>
          <w:sz w:val="24"/>
          <w:szCs w:val="24"/>
        </w:rPr>
        <w:t>)</w:t>
      </w:r>
      <w:r w:rsidR="002A4CF2" w:rsidRPr="002A4CF2">
        <w:rPr>
          <w:rFonts w:ascii="Times New Roman" w:hAnsi="Times New Roman" w:cs="Times New Roman"/>
          <w:sz w:val="24"/>
          <w:szCs w:val="24"/>
        </w:rPr>
        <w:t>. This suggests that hydrogen adsorbs well due to attractive interactions, filling available sites more effectively. As temperature increases, hydrogen adsorption decreases slightly, indicating the onset of desorption.</w:t>
      </w:r>
      <w:r w:rsidR="009D1C11">
        <w:rPr>
          <w:rFonts w:ascii="Times New Roman" w:hAnsi="Times New Roman" w:cs="Times New Roman" w:hint="eastAsia"/>
          <w:sz w:val="24"/>
          <w:szCs w:val="24"/>
        </w:rPr>
        <w:t xml:space="preserve"> </w:t>
      </w:r>
      <w:r w:rsidR="002A4CF2" w:rsidRPr="002A4CF2">
        <w:rPr>
          <w:rFonts w:ascii="Times New Roman" w:hAnsi="Times New Roman" w:cs="Times New Roman"/>
          <w:sz w:val="24"/>
          <w:szCs w:val="24"/>
        </w:rPr>
        <w:t xml:space="preserve">The nitrogen coverage phase diagram </w:t>
      </w:r>
      <w:r w:rsidR="002A4CF2" w:rsidRPr="002A4CF2">
        <w:rPr>
          <w:rFonts w:ascii="Cambria Math" w:hAnsi="Cambria Math" w:cs="Cambria Math"/>
          <w:sz w:val="24"/>
          <w:szCs w:val="24"/>
        </w:rPr>
        <w:t>⟨</w:t>
      </w:r>
      <w:r w:rsidR="002A4CF2" w:rsidRPr="002A4CF2">
        <w:rPr>
          <w:rFonts w:ascii="Times New Roman" w:hAnsi="Times New Roman" w:cs="Times New Roman"/>
          <w:sz w:val="24"/>
          <w:szCs w:val="24"/>
        </w:rPr>
        <w:t>θ</w:t>
      </w:r>
      <w:r w:rsidR="002A4CF2" w:rsidRPr="00E87100">
        <w:rPr>
          <w:rFonts w:ascii="Times New Roman" w:hAnsi="Times New Roman" w:cs="Times New Roman"/>
          <w:sz w:val="24"/>
          <w:szCs w:val="24"/>
          <w:vertAlign w:val="subscript"/>
        </w:rPr>
        <w:t>N</w:t>
      </w:r>
      <w:r w:rsidR="002A4CF2" w:rsidRPr="002A4CF2">
        <w:rPr>
          <w:rFonts w:ascii="Cambria Math" w:hAnsi="Cambria Math" w:cs="Cambria Math"/>
          <w:sz w:val="24"/>
          <w:szCs w:val="24"/>
        </w:rPr>
        <w:t>⟩</w:t>
      </w:r>
      <w:r w:rsidR="002A4CF2" w:rsidRPr="002A4CF2">
        <w:rPr>
          <w:rFonts w:ascii="Times New Roman" w:hAnsi="Times New Roman" w:cs="Times New Roman"/>
          <w:sz w:val="24"/>
          <w:szCs w:val="24"/>
        </w:rPr>
        <w:t xml:space="preserve"> shows similar behavior. Nitrogen adsorption is also moderate at low temperatures across various μ</w:t>
      </w:r>
      <w:r w:rsidR="002A4CF2" w:rsidRPr="002A4CF2">
        <w:rPr>
          <w:rFonts w:ascii="Times New Roman" w:hAnsi="Times New Roman" w:cs="Times New Roman"/>
          <w:sz w:val="24"/>
          <w:szCs w:val="24"/>
          <w:vertAlign w:val="subscript"/>
        </w:rPr>
        <w:t>H</w:t>
      </w:r>
      <w:r w:rsidR="002A4CF2" w:rsidRPr="002A4CF2">
        <w:rPr>
          <w:rFonts w:ascii="Times New Roman" w:hAnsi="Times New Roman" w:cs="Times New Roman"/>
          <w:sz w:val="24"/>
          <w:szCs w:val="24"/>
        </w:rPr>
        <w:t xml:space="preserve"> values</w:t>
      </w:r>
      <w:r w:rsidR="00F41B9F">
        <w:rPr>
          <w:rFonts w:ascii="Times New Roman" w:hAnsi="Times New Roman" w:cs="Times New Roman" w:hint="eastAsia"/>
          <w:sz w:val="24"/>
          <w:szCs w:val="24"/>
        </w:rPr>
        <w:t>. It reflects</w:t>
      </w:r>
      <w:r w:rsidR="002A4CF2" w:rsidRPr="002A4CF2">
        <w:rPr>
          <w:rFonts w:ascii="Times New Roman" w:hAnsi="Times New Roman" w:cs="Times New Roman"/>
          <w:sz w:val="24"/>
          <w:szCs w:val="24"/>
        </w:rPr>
        <w:t xml:space="preserve"> a strong tendency to adsorb due to attractive interactions. </w:t>
      </w:r>
      <w:r w:rsidR="005951B1">
        <w:rPr>
          <w:rFonts w:ascii="Times New Roman" w:hAnsi="Times New Roman" w:cs="Times New Roman" w:hint="eastAsia"/>
          <w:sz w:val="24"/>
          <w:szCs w:val="24"/>
        </w:rPr>
        <w:t>However, i</w:t>
      </w:r>
      <w:r w:rsidR="005951B1" w:rsidRPr="005951B1">
        <w:rPr>
          <w:rFonts w:ascii="Times New Roman" w:hAnsi="Times New Roman" w:cs="Times New Roman"/>
          <w:sz w:val="24"/>
          <w:szCs w:val="24"/>
        </w:rPr>
        <w:t>n the attractive interaction case, both hydrogen and nitrogen have an inherent tendency to adsorb and stabilize on the lattice. When hydrogen adsorption is less favorable due to the low μ</w:t>
      </w:r>
      <w:r w:rsidR="005951B1" w:rsidRPr="005951B1">
        <w:rPr>
          <w:rFonts w:ascii="Times New Roman" w:hAnsi="Times New Roman" w:cs="Times New Roman"/>
          <w:sz w:val="24"/>
          <w:szCs w:val="24"/>
          <w:vertAlign w:val="subscript"/>
        </w:rPr>
        <w:t>H</w:t>
      </w:r>
      <w:r w:rsidR="005951B1" w:rsidRPr="005951B1">
        <w:rPr>
          <w:rFonts w:ascii="Times New Roman" w:hAnsi="Times New Roman" w:cs="Times New Roman"/>
          <w:sz w:val="24"/>
          <w:szCs w:val="24"/>
        </w:rPr>
        <w:t xml:space="preserve">​, nitrogen can </w:t>
      </w:r>
      <w:r w:rsidR="005951B1" w:rsidRPr="005951B1">
        <w:rPr>
          <w:rFonts w:ascii="Times New Roman" w:hAnsi="Times New Roman" w:cs="Times New Roman"/>
          <w:sz w:val="24"/>
          <w:szCs w:val="24"/>
        </w:rPr>
        <w:lastRenderedPageBreak/>
        <w:t xml:space="preserve">take advantage of the available sites and adsorb more readily. Thus, the attractive interactions allow </w:t>
      </w:r>
      <w:r w:rsidR="005951B1" w:rsidRPr="00C14B05">
        <w:rPr>
          <w:rFonts w:ascii="Times New Roman" w:hAnsi="Times New Roman" w:cs="Times New Roman"/>
          <w:sz w:val="24"/>
          <w:szCs w:val="24"/>
        </w:rPr>
        <w:t>nitrogen to increase its coverage on the lattice in conditions where hydrogen is not as competitive.</w:t>
      </w:r>
    </w:p>
    <w:p w14:paraId="06D6401C" w14:textId="5AC64CF0" w:rsidR="002A4CF2" w:rsidRPr="00C14B05" w:rsidRDefault="002A4CF2" w:rsidP="001D16EC">
      <w:pPr>
        <w:spacing w:line="360" w:lineRule="auto"/>
        <w:ind w:firstLine="360"/>
        <w:jc w:val="both"/>
        <w:rPr>
          <w:rFonts w:ascii="Times New Roman" w:hAnsi="Times New Roman" w:cs="Times New Roman"/>
          <w:sz w:val="24"/>
          <w:szCs w:val="24"/>
        </w:rPr>
      </w:pPr>
      <w:r w:rsidRPr="00C14B05">
        <w:rPr>
          <w:rFonts w:ascii="Times New Roman" w:hAnsi="Times New Roman" w:cs="Times New Roman"/>
          <w:sz w:val="24"/>
          <w:szCs w:val="24"/>
        </w:rPr>
        <w:t xml:space="preserve">The combined coverage phase diagram </w:t>
      </w:r>
      <w:r w:rsidRPr="00C14B05">
        <w:rPr>
          <w:rFonts w:ascii="Cambria Math" w:hAnsi="Cambria Math" w:cs="Cambria Math"/>
          <w:sz w:val="24"/>
          <w:szCs w:val="24"/>
        </w:rPr>
        <w:t>⟨</w:t>
      </w:r>
      <w:r w:rsidRPr="00C14B05">
        <w:rPr>
          <w:rFonts w:ascii="Times New Roman" w:hAnsi="Times New Roman" w:cs="Times New Roman"/>
          <w:sz w:val="24"/>
          <w:szCs w:val="24"/>
        </w:rPr>
        <w:t>θ</w:t>
      </w:r>
      <w:r w:rsidRPr="00C14B05">
        <w:rPr>
          <w:rFonts w:ascii="Times New Roman" w:hAnsi="Times New Roman" w:cs="Times New Roman"/>
          <w:sz w:val="24"/>
          <w:szCs w:val="24"/>
          <w:vertAlign w:val="subscript"/>
        </w:rPr>
        <w:t>H</w:t>
      </w:r>
      <w:r w:rsidRPr="00C14B05">
        <w:rPr>
          <w:rFonts w:ascii="Times New Roman" w:hAnsi="Times New Roman" w:cs="Times New Roman"/>
          <w:sz w:val="24"/>
          <w:szCs w:val="24"/>
        </w:rPr>
        <w:t>+θ</w:t>
      </w:r>
      <w:r w:rsidRPr="00C14B05">
        <w:rPr>
          <w:rFonts w:ascii="Times New Roman" w:hAnsi="Times New Roman" w:cs="Times New Roman"/>
          <w:sz w:val="24"/>
          <w:szCs w:val="24"/>
          <w:vertAlign w:val="subscript"/>
        </w:rPr>
        <w:t>N</w:t>
      </w:r>
      <w:r w:rsidRPr="00C14B05">
        <w:rPr>
          <w:rFonts w:ascii="Cambria Math" w:hAnsi="Cambria Math" w:cs="Cambria Math"/>
          <w:sz w:val="24"/>
          <w:szCs w:val="24"/>
        </w:rPr>
        <w:t>⟩</w:t>
      </w:r>
      <w:r w:rsidR="008D6865" w:rsidRPr="00C14B05">
        <w:rPr>
          <w:rFonts w:ascii="Times New Roman" w:hAnsi="Times New Roman" w:cs="Times New Roman"/>
          <w:sz w:val="24"/>
          <w:szCs w:val="24"/>
        </w:rPr>
        <w:t xml:space="preserve"> support this phenomenon. It is satur</w:t>
      </w:r>
      <w:r w:rsidRPr="00C14B05">
        <w:rPr>
          <w:rFonts w:ascii="Times New Roman" w:hAnsi="Times New Roman" w:cs="Times New Roman"/>
          <w:sz w:val="24"/>
          <w:szCs w:val="24"/>
        </w:rPr>
        <w:t>ated at high values across all μ</w:t>
      </w:r>
      <w:r w:rsidRPr="00C14B05">
        <w:rPr>
          <w:rFonts w:ascii="Times New Roman" w:hAnsi="Times New Roman" w:cs="Times New Roman"/>
          <w:sz w:val="24"/>
          <w:szCs w:val="24"/>
          <w:vertAlign w:val="subscript"/>
        </w:rPr>
        <w:t>H</w:t>
      </w:r>
      <w:r w:rsidRPr="00C14B05">
        <w:rPr>
          <w:rFonts w:ascii="Times New Roman" w:hAnsi="Times New Roman" w:cs="Times New Roman"/>
          <w:sz w:val="24"/>
          <w:szCs w:val="24"/>
        </w:rPr>
        <w:t>​ and T ranges. This high combined coverage suggests that both hydrogen and nitrogen can coexist on the lattice without significant competition due to the attractive interactions, which promote full lattice occupancy.</w:t>
      </w:r>
    </w:p>
    <w:p w14:paraId="6466238C" w14:textId="0DD0D0C9" w:rsidR="002A4CF2" w:rsidRPr="002A4CF2" w:rsidRDefault="002A4CF2" w:rsidP="001D16EC">
      <w:pPr>
        <w:spacing w:line="360" w:lineRule="auto"/>
        <w:ind w:firstLine="360"/>
        <w:jc w:val="both"/>
        <w:rPr>
          <w:rFonts w:ascii="Times New Roman" w:hAnsi="Times New Roman" w:cs="Times New Roman"/>
          <w:sz w:val="24"/>
          <w:szCs w:val="24"/>
        </w:rPr>
      </w:pPr>
      <w:r w:rsidRPr="002A4CF2">
        <w:rPr>
          <w:rFonts w:ascii="Times New Roman" w:hAnsi="Times New Roman" w:cs="Times New Roman"/>
          <w:sz w:val="24"/>
          <w:szCs w:val="24"/>
        </w:rPr>
        <w:t>The lattice configurations further support these observations</w:t>
      </w:r>
      <w:r w:rsidR="00A704EA">
        <w:rPr>
          <w:rFonts w:ascii="Times New Roman" w:hAnsi="Times New Roman" w:cs="Times New Roman" w:hint="eastAsia"/>
          <w:sz w:val="24"/>
          <w:szCs w:val="24"/>
        </w:rPr>
        <w:t xml:space="preserve"> (</w:t>
      </w:r>
      <w:r w:rsidR="00A704EA" w:rsidRPr="00A704EA">
        <w:rPr>
          <w:rFonts w:ascii="Times New Roman" w:hAnsi="Times New Roman" w:cs="Times New Roman" w:hint="eastAsia"/>
          <w:b/>
          <w:bCs/>
          <w:sz w:val="24"/>
          <w:szCs w:val="24"/>
        </w:rPr>
        <w:t>Figure 3B</w:t>
      </w:r>
      <w:r w:rsidR="00A704EA">
        <w:rPr>
          <w:rFonts w:ascii="Times New Roman" w:hAnsi="Times New Roman" w:cs="Times New Roman" w:hint="eastAsia"/>
          <w:sz w:val="24"/>
          <w:szCs w:val="24"/>
        </w:rPr>
        <w:t>)</w:t>
      </w:r>
      <w:r w:rsidRPr="002A4CF2">
        <w:rPr>
          <w:rFonts w:ascii="Times New Roman" w:hAnsi="Times New Roman" w:cs="Times New Roman"/>
          <w:sz w:val="24"/>
          <w:szCs w:val="24"/>
        </w:rPr>
        <w:t>. At μ</w:t>
      </w:r>
      <w:r w:rsidRPr="002A4CF2">
        <w:rPr>
          <w:rFonts w:ascii="Times New Roman" w:hAnsi="Times New Roman" w:cs="Times New Roman"/>
          <w:sz w:val="24"/>
          <w:szCs w:val="24"/>
          <w:vertAlign w:val="subscript"/>
        </w:rPr>
        <w:t>H</w:t>
      </w:r>
      <w:r w:rsidRPr="002A4CF2">
        <w:rPr>
          <w:rFonts w:ascii="Times New Roman" w:hAnsi="Times New Roman" w:cs="Times New Roman"/>
          <w:sz w:val="24"/>
          <w:szCs w:val="24"/>
        </w:rPr>
        <w:t>=−0.2 eV and T=116</w:t>
      </w:r>
      <w:r w:rsidR="00351DCA">
        <w:rPr>
          <w:rFonts w:ascii="Times New Roman" w:hAnsi="Times New Roman" w:cs="Times New Roman" w:hint="eastAsia"/>
          <w:sz w:val="24"/>
          <w:szCs w:val="24"/>
        </w:rPr>
        <w:t xml:space="preserve"> K</w:t>
      </w:r>
      <w:r w:rsidRPr="002A4CF2">
        <w:rPr>
          <w:rFonts w:ascii="Times New Roman" w:hAnsi="Times New Roman" w:cs="Times New Roman"/>
          <w:sz w:val="24"/>
          <w:szCs w:val="24"/>
        </w:rPr>
        <w:t>, the lattice shows a balanced distribution of nitrogen and hydrogen, indicating high adsorption for both species. As μ</w:t>
      </w:r>
      <w:r w:rsidRPr="002A4CF2">
        <w:rPr>
          <w:rFonts w:ascii="Times New Roman" w:hAnsi="Times New Roman" w:cs="Times New Roman"/>
          <w:sz w:val="24"/>
          <w:szCs w:val="24"/>
          <w:vertAlign w:val="subscript"/>
        </w:rPr>
        <w:t>H</w:t>
      </w:r>
      <w:r w:rsidR="00630031">
        <w:rPr>
          <w:rFonts w:ascii="Times New Roman" w:hAnsi="Times New Roman" w:cs="Times New Roman" w:hint="eastAsia"/>
          <w:sz w:val="24"/>
          <w:szCs w:val="24"/>
          <w:vertAlign w:val="subscript"/>
        </w:rPr>
        <w:t xml:space="preserve"> </w:t>
      </w:r>
      <w:r w:rsidRPr="002A4CF2">
        <w:rPr>
          <w:rFonts w:ascii="Times New Roman" w:hAnsi="Times New Roman" w:cs="Times New Roman"/>
          <w:sz w:val="24"/>
          <w:szCs w:val="24"/>
        </w:rPr>
        <w:t>increases to -0.1 eV, both gases remain highly adsorbed, maintaining nearly full lattice coverage. At μ</w:t>
      </w:r>
      <w:r w:rsidRPr="002A4CF2">
        <w:rPr>
          <w:rFonts w:ascii="Times New Roman" w:hAnsi="Times New Roman" w:cs="Times New Roman"/>
          <w:sz w:val="24"/>
          <w:szCs w:val="24"/>
          <w:vertAlign w:val="subscript"/>
        </w:rPr>
        <w:t>H</w:t>
      </w:r>
      <w:r w:rsidRPr="002A4CF2">
        <w:rPr>
          <w:rFonts w:ascii="Times New Roman" w:hAnsi="Times New Roman" w:cs="Times New Roman"/>
          <w:sz w:val="24"/>
          <w:szCs w:val="24"/>
        </w:rPr>
        <w:t>=0 eV, the lattice is densely occupied by both gases, showing a mixed but stable pattern due to the attractive forces.</w:t>
      </w:r>
    </w:p>
    <w:p w14:paraId="344E682A" w14:textId="062B468A" w:rsidR="00834461" w:rsidRPr="00834461" w:rsidRDefault="0078602D" w:rsidP="00801B42">
      <w:pPr>
        <w:spacing w:line="360" w:lineRule="auto"/>
        <w:ind w:firstLine="360"/>
        <w:jc w:val="both"/>
        <w:rPr>
          <w:rFonts w:ascii="Times New Roman" w:hAnsi="Times New Roman" w:cs="Times New Roman"/>
          <w:sz w:val="24"/>
          <w:szCs w:val="24"/>
        </w:rPr>
      </w:pPr>
      <w:r>
        <w:rPr>
          <w:rFonts w:ascii="Times New Roman" w:hAnsi="Times New Roman" w:cs="Times New Roman" w:hint="eastAsia"/>
          <w:sz w:val="24"/>
          <w:szCs w:val="24"/>
        </w:rPr>
        <w:t>To sum up</w:t>
      </w:r>
      <w:r w:rsidR="002A4CF2" w:rsidRPr="002A4CF2">
        <w:rPr>
          <w:rFonts w:ascii="Times New Roman" w:hAnsi="Times New Roman" w:cs="Times New Roman"/>
          <w:sz w:val="24"/>
          <w:szCs w:val="24"/>
        </w:rPr>
        <w:t>, the attractive interactions enable both hydrogen and nitrogen to adsorb efficiently at low and moderate μ</w:t>
      </w:r>
      <w:r w:rsidR="002A4CF2" w:rsidRPr="002A4CF2">
        <w:rPr>
          <w:rFonts w:ascii="Times New Roman" w:hAnsi="Times New Roman" w:cs="Times New Roman"/>
          <w:sz w:val="24"/>
          <w:szCs w:val="24"/>
          <w:vertAlign w:val="subscript"/>
        </w:rPr>
        <w:t>H</w:t>
      </w:r>
      <w:r w:rsidR="002A4CF2" w:rsidRPr="002A4CF2">
        <w:rPr>
          <w:rFonts w:ascii="Times New Roman" w:hAnsi="Times New Roman" w:cs="Times New Roman"/>
          <w:sz w:val="24"/>
          <w:szCs w:val="24"/>
        </w:rPr>
        <w:t>​ values. The high coverage across the lattice, even at elevated temperatures, demonstrates the impact of attractive interactions in stabilizing both gases on the lattice.</w:t>
      </w:r>
    </w:p>
    <w:p w14:paraId="3EFEDBDD" w14:textId="743A12C3" w:rsidR="00834461" w:rsidRPr="00834461" w:rsidRDefault="00834461" w:rsidP="001D16EC">
      <w:pPr>
        <w:pStyle w:val="a3"/>
        <w:numPr>
          <w:ilvl w:val="1"/>
          <w:numId w:val="15"/>
        </w:numPr>
        <w:spacing w:line="360" w:lineRule="auto"/>
        <w:ind w:leftChars="0"/>
        <w:rPr>
          <w:rFonts w:ascii="Times New Roman" w:hAnsi="Times New Roman" w:cs="Times New Roman"/>
          <w:b/>
          <w:bCs/>
          <w:sz w:val="24"/>
          <w:szCs w:val="24"/>
        </w:rPr>
      </w:pPr>
      <w:r>
        <w:rPr>
          <w:rFonts w:ascii="Times New Roman" w:hAnsi="Times New Roman" w:cs="Times New Roman"/>
          <w:sz w:val="24"/>
          <w:szCs w:val="24"/>
        </w:rPr>
        <w:t xml:space="preserve"> </w:t>
      </w:r>
      <w:r w:rsidRPr="00834461">
        <w:rPr>
          <w:rFonts w:ascii="Times New Roman" w:hAnsi="Times New Roman" w:cs="Times New Roman"/>
          <w:b/>
          <w:bCs/>
          <w:sz w:val="24"/>
          <w:szCs w:val="24"/>
        </w:rPr>
        <w:t>Immiscible</w:t>
      </w:r>
      <w:r w:rsidR="00896C6B">
        <w:rPr>
          <w:rFonts w:ascii="Times New Roman" w:hAnsi="Times New Roman" w:cs="Times New Roman" w:hint="eastAsia"/>
          <w:b/>
          <w:bCs/>
          <w:sz w:val="24"/>
          <w:szCs w:val="24"/>
        </w:rPr>
        <w:t xml:space="preserve"> Scenario</w:t>
      </w:r>
    </w:p>
    <w:p w14:paraId="3593AC3F" w14:textId="73114EA8" w:rsidR="00C036F5" w:rsidRDefault="00A5651F" w:rsidP="00483188">
      <w:pPr>
        <w:spacing w:line="360" w:lineRule="auto"/>
        <w:ind w:firstLine="360"/>
        <w:jc w:val="center"/>
        <w:rPr>
          <w:rFonts w:ascii="Times New Roman" w:hAnsi="Times New Roman" w:cs="Times New Roman"/>
          <w:sz w:val="24"/>
          <w:szCs w:val="24"/>
        </w:rPr>
      </w:pPr>
      <w:r>
        <w:rPr>
          <w:noProof/>
        </w:rPr>
        <w:drawing>
          <wp:inline distT="0" distB="0" distL="0" distR="0" wp14:anchorId="6AD4C8D5" wp14:editId="4DE0B233">
            <wp:extent cx="4178073" cy="2890280"/>
            <wp:effectExtent l="0" t="0" r="0" b="5715"/>
            <wp:docPr id="541991055"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0548" cy="2919663"/>
                    </a:xfrm>
                    <a:prstGeom prst="rect">
                      <a:avLst/>
                    </a:prstGeom>
                    <a:noFill/>
                    <a:ln>
                      <a:noFill/>
                    </a:ln>
                  </pic:spPr>
                </pic:pic>
              </a:graphicData>
            </a:graphic>
          </wp:inline>
        </w:drawing>
      </w:r>
    </w:p>
    <w:p w14:paraId="47DEB49D" w14:textId="634BC607" w:rsidR="001813B9" w:rsidRPr="001813B9" w:rsidRDefault="001813B9" w:rsidP="001813B9">
      <w:pPr>
        <w:pStyle w:val="a4"/>
        <w:spacing w:line="360" w:lineRule="auto"/>
        <w:rPr>
          <w:rFonts w:eastAsiaTheme="minorEastAsia"/>
          <w:kern w:val="2"/>
          <w14:ligatures w14:val="standardContextual"/>
        </w:rPr>
      </w:pPr>
      <w:r>
        <w:rPr>
          <w:rFonts w:eastAsiaTheme="minorEastAsia" w:hint="eastAsia"/>
          <w:b/>
          <w:bCs/>
          <w:kern w:val="2"/>
          <w14:ligatures w14:val="standardContextual"/>
        </w:rPr>
        <w:t>Figure</w:t>
      </w:r>
      <w:r w:rsidRPr="00CF6A51">
        <w:rPr>
          <w:rFonts w:eastAsiaTheme="minorEastAsia" w:hint="eastAsia"/>
          <w:b/>
          <w:bCs/>
          <w:kern w:val="2"/>
          <w14:ligatures w14:val="standardContextual"/>
        </w:rPr>
        <w:t xml:space="preserve"> </w:t>
      </w:r>
      <w:r>
        <w:rPr>
          <w:rFonts w:eastAsiaTheme="minorEastAsia" w:hint="eastAsia"/>
          <w:b/>
          <w:bCs/>
          <w:kern w:val="2"/>
          <w14:ligatures w14:val="standardContextual"/>
        </w:rPr>
        <w:t>4</w:t>
      </w:r>
      <w:r>
        <w:rPr>
          <w:rFonts w:eastAsiaTheme="minorEastAsia" w:hint="eastAsia"/>
          <w:kern w:val="2"/>
          <w14:ligatures w14:val="standardContextual"/>
        </w:rPr>
        <w:t>. (A) Phase diagram and (B) lattice for immiscible case. The red circle denotes nitrogen and blue circle denotes hydrogen.</w:t>
      </w:r>
    </w:p>
    <w:p w14:paraId="5428A844" w14:textId="45D28F6B" w:rsidR="0052104B" w:rsidRPr="0052104B" w:rsidRDefault="0052104B" w:rsidP="001D16EC">
      <w:pPr>
        <w:spacing w:line="360" w:lineRule="auto"/>
        <w:ind w:firstLine="360"/>
        <w:jc w:val="both"/>
        <w:rPr>
          <w:rFonts w:ascii="Times New Roman" w:hAnsi="Times New Roman" w:cs="Times New Roman"/>
          <w:sz w:val="24"/>
          <w:szCs w:val="24"/>
        </w:rPr>
      </w:pPr>
      <w:r w:rsidRPr="0052104B">
        <w:rPr>
          <w:rFonts w:ascii="Times New Roman" w:hAnsi="Times New Roman" w:cs="Times New Roman"/>
          <w:sz w:val="24"/>
          <w:szCs w:val="24"/>
        </w:rPr>
        <w:lastRenderedPageBreak/>
        <w:t xml:space="preserve">In the immiscible case, the results show distinct adsorption behavior for hydrogen and nitrogen, with minimal mixing on the lattice. The top row displays phase diagrams </w:t>
      </w:r>
      <w:r w:rsidR="00CA5EA7">
        <w:rPr>
          <w:rFonts w:ascii="Times New Roman" w:hAnsi="Times New Roman" w:cs="Times New Roman" w:hint="eastAsia"/>
          <w:sz w:val="24"/>
          <w:szCs w:val="24"/>
        </w:rPr>
        <w:t>and t</w:t>
      </w:r>
      <w:r w:rsidRPr="0052104B">
        <w:rPr>
          <w:rFonts w:ascii="Times New Roman" w:hAnsi="Times New Roman" w:cs="Times New Roman"/>
          <w:sz w:val="24"/>
          <w:szCs w:val="24"/>
        </w:rPr>
        <w:t>he bottom row presents the lattice configurations at specific values of μ</w:t>
      </w:r>
      <w:r w:rsidRPr="0052104B">
        <w:rPr>
          <w:rFonts w:ascii="Times New Roman" w:hAnsi="Times New Roman" w:cs="Times New Roman"/>
          <w:sz w:val="24"/>
          <w:szCs w:val="24"/>
          <w:vertAlign w:val="subscript"/>
        </w:rPr>
        <w:t>H</w:t>
      </w:r>
      <w:r w:rsidR="00CA5EA7">
        <w:rPr>
          <w:rFonts w:ascii="Times New Roman" w:hAnsi="Times New Roman" w:cs="Times New Roman" w:hint="eastAsia"/>
          <w:sz w:val="24"/>
          <w:szCs w:val="24"/>
        </w:rPr>
        <w:t xml:space="preserve"> </w:t>
      </w:r>
      <w:r w:rsidRPr="0052104B">
        <w:rPr>
          <w:rFonts w:ascii="Times New Roman" w:hAnsi="Times New Roman" w:cs="Times New Roman"/>
          <w:sz w:val="24"/>
          <w:szCs w:val="24"/>
        </w:rPr>
        <w:t>and T=116 K.</w:t>
      </w:r>
    </w:p>
    <w:p w14:paraId="3FE6CFFA" w14:textId="499019F3" w:rsidR="0052104B" w:rsidRPr="0052104B" w:rsidRDefault="00CF1111" w:rsidP="001D16EC">
      <w:pPr>
        <w:spacing w:line="360" w:lineRule="auto"/>
        <w:ind w:firstLine="360"/>
        <w:jc w:val="both"/>
        <w:rPr>
          <w:rFonts w:ascii="Times New Roman" w:hAnsi="Times New Roman" w:cs="Times New Roman"/>
          <w:sz w:val="24"/>
          <w:szCs w:val="24"/>
        </w:rPr>
      </w:pPr>
      <w:r>
        <w:rPr>
          <w:rFonts w:ascii="Times New Roman" w:hAnsi="Times New Roman" w:cs="Times New Roman" w:hint="eastAsia"/>
          <w:sz w:val="24"/>
          <w:szCs w:val="24"/>
        </w:rPr>
        <w:t>The hydrogen</w:t>
      </w:r>
      <w:r w:rsidR="006D6EE5">
        <w:rPr>
          <w:rFonts w:ascii="Times New Roman" w:hAnsi="Times New Roman" w:cs="Times New Roman" w:hint="eastAsia"/>
          <w:sz w:val="24"/>
          <w:szCs w:val="24"/>
        </w:rPr>
        <w:t xml:space="preserve">, </w:t>
      </w:r>
      <w:r>
        <w:rPr>
          <w:rFonts w:ascii="Times New Roman" w:hAnsi="Times New Roman" w:cs="Times New Roman" w:hint="eastAsia"/>
          <w:sz w:val="24"/>
          <w:szCs w:val="24"/>
        </w:rPr>
        <w:t>ni</w:t>
      </w:r>
      <w:r w:rsidR="006D6EE5">
        <w:rPr>
          <w:rFonts w:ascii="Times New Roman" w:hAnsi="Times New Roman" w:cs="Times New Roman" w:hint="eastAsia"/>
          <w:sz w:val="24"/>
          <w:szCs w:val="24"/>
        </w:rPr>
        <w:t>t</w:t>
      </w:r>
      <w:r>
        <w:rPr>
          <w:rFonts w:ascii="Times New Roman" w:hAnsi="Times New Roman" w:cs="Times New Roman" w:hint="eastAsia"/>
          <w:sz w:val="24"/>
          <w:szCs w:val="24"/>
        </w:rPr>
        <w:t xml:space="preserve">rogen, </w:t>
      </w:r>
      <w:r w:rsidR="006D6EE5">
        <w:rPr>
          <w:rFonts w:ascii="Times New Roman" w:hAnsi="Times New Roman" w:cs="Times New Roman" w:hint="eastAsia"/>
          <w:sz w:val="24"/>
          <w:szCs w:val="24"/>
        </w:rPr>
        <w:t xml:space="preserve">and </w:t>
      </w:r>
      <w:r>
        <w:rPr>
          <w:rFonts w:ascii="Times New Roman" w:hAnsi="Times New Roman" w:cs="Times New Roman" w:hint="eastAsia"/>
          <w:sz w:val="24"/>
          <w:szCs w:val="24"/>
        </w:rPr>
        <w:t>combined coverage</w:t>
      </w:r>
      <w:r w:rsidR="006D6EE5">
        <w:rPr>
          <w:rFonts w:ascii="Times New Roman" w:hAnsi="Times New Roman" w:cs="Times New Roman" w:hint="eastAsia"/>
          <w:sz w:val="24"/>
          <w:szCs w:val="24"/>
        </w:rPr>
        <w:t xml:space="preserve"> diagrams are </w:t>
      </w:r>
      <w:r>
        <w:rPr>
          <w:rFonts w:ascii="Times New Roman" w:hAnsi="Times New Roman" w:cs="Times New Roman" w:hint="eastAsia"/>
          <w:sz w:val="24"/>
          <w:szCs w:val="24"/>
        </w:rPr>
        <w:t xml:space="preserve">shown in </w:t>
      </w:r>
      <w:r w:rsidRPr="0003027C">
        <w:rPr>
          <w:rFonts w:ascii="Times New Roman" w:hAnsi="Times New Roman" w:cs="Times New Roman" w:hint="eastAsia"/>
          <w:b/>
          <w:bCs/>
          <w:sz w:val="24"/>
          <w:szCs w:val="24"/>
        </w:rPr>
        <w:t xml:space="preserve">Figure </w:t>
      </w:r>
      <w:r>
        <w:rPr>
          <w:rFonts w:ascii="Times New Roman" w:hAnsi="Times New Roman" w:cs="Times New Roman" w:hint="eastAsia"/>
          <w:b/>
          <w:bCs/>
          <w:sz w:val="24"/>
          <w:szCs w:val="24"/>
        </w:rPr>
        <w:t>4</w:t>
      </w:r>
      <w:r w:rsidRPr="0003027C">
        <w:rPr>
          <w:rFonts w:ascii="Times New Roman" w:hAnsi="Times New Roman" w:cs="Times New Roman" w:hint="eastAsia"/>
          <w:b/>
          <w:bCs/>
          <w:sz w:val="24"/>
          <w:szCs w:val="24"/>
        </w:rPr>
        <w:t>A</w:t>
      </w:r>
      <w:r>
        <w:rPr>
          <w:rFonts w:ascii="Times New Roman" w:hAnsi="Times New Roman" w:cs="Times New Roman" w:hint="eastAsia"/>
          <w:b/>
          <w:bCs/>
          <w:sz w:val="24"/>
          <w:szCs w:val="24"/>
        </w:rPr>
        <w:t>.</w:t>
      </w:r>
      <w:r w:rsidRPr="0052104B">
        <w:rPr>
          <w:rFonts w:ascii="Times New Roman" w:hAnsi="Times New Roman" w:cs="Times New Roman"/>
          <w:sz w:val="24"/>
          <w:szCs w:val="24"/>
        </w:rPr>
        <w:t xml:space="preserve"> </w:t>
      </w:r>
      <w:r w:rsidR="0052104B" w:rsidRPr="0052104B">
        <w:rPr>
          <w:rFonts w:ascii="Times New Roman" w:hAnsi="Times New Roman" w:cs="Times New Roman"/>
          <w:sz w:val="24"/>
          <w:szCs w:val="24"/>
        </w:rPr>
        <w:t xml:space="preserve">In the phase diagram for hydrogen coverage </w:t>
      </w:r>
      <w:r w:rsidR="0052104B" w:rsidRPr="0052104B">
        <w:rPr>
          <w:rFonts w:ascii="Cambria Math" w:hAnsi="Cambria Math" w:cs="Cambria Math"/>
          <w:sz w:val="24"/>
          <w:szCs w:val="24"/>
        </w:rPr>
        <w:t>⟨</w:t>
      </w:r>
      <w:r w:rsidR="0052104B" w:rsidRPr="0052104B">
        <w:rPr>
          <w:rFonts w:ascii="Times New Roman" w:hAnsi="Times New Roman" w:cs="Times New Roman"/>
          <w:sz w:val="24"/>
          <w:szCs w:val="24"/>
        </w:rPr>
        <w:t>θ</w:t>
      </w:r>
      <w:r w:rsidR="0052104B" w:rsidRPr="0052104B">
        <w:rPr>
          <w:rFonts w:ascii="Times New Roman" w:hAnsi="Times New Roman" w:cs="Times New Roman"/>
          <w:sz w:val="24"/>
          <w:szCs w:val="24"/>
          <w:vertAlign w:val="subscript"/>
        </w:rPr>
        <w:t>H</w:t>
      </w:r>
      <w:r w:rsidR="0052104B" w:rsidRPr="0052104B">
        <w:rPr>
          <w:rFonts w:ascii="Cambria Math" w:hAnsi="Cambria Math" w:cs="Cambria Math"/>
          <w:sz w:val="24"/>
          <w:szCs w:val="24"/>
        </w:rPr>
        <w:t>⟩</w:t>
      </w:r>
      <w:r w:rsidR="0052104B" w:rsidRPr="0052104B">
        <w:rPr>
          <w:rFonts w:ascii="Times New Roman" w:hAnsi="Times New Roman" w:cs="Times New Roman"/>
          <w:sz w:val="24"/>
          <w:szCs w:val="24"/>
        </w:rPr>
        <w:t>, adsorption increases as μ</w:t>
      </w:r>
      <w:r w:rsidR="0052104B" w:rsidRPr="0052104B">
        <w:rPr>
          <w:rFonts w:ascii="Times New Roman" w:hAnsi="Times New Roman" w:cs="Times New Roman"/>
          <w:sz w:val="24"/>
          <w:szCs w:val="24"/>
          <w:vertAlign w:val="subscript"/>
        </w:rPr>
        <w:t>H</w:t>
      </w:r>
      <w:r w:rsidR="00710DB3" w:rsidRPr="0052104B">
        <w:rPr>
          <w:rFonts w:ascii="Times New Roman" w:hAnsi="Times New Roman" w:cs="Times New Roman"/>
          <w:sz w:val="24"/>
          <w:szCs w:val="24"/>
        </w:rPr>
        <w:t xml:space="preserve"> </w:t>
      </w:r>
      <w:r w:rsidR="0052104B" w:rsidRPr="0052104B">
        <w:rPr>
          <w:rFonts w:ascii="Times New Roman" w:hAnsi="Times New Roman" w:cs="Times New Roman"/>
          <w:sz w:val="24"/>
          <w:szCs w:val="24"/>
        </w:rPr>
        <w:t>becomes more positive, especially at low temperatures. Hydrogen coverage reaches high levels when μ</w:t>
      </w:r>
      <w:r w:rsidR="0052104B" w:rsidRPr="0052104B">
        <w:rPr>
          <w:rFonts w:ascii="Times New Roman" w:hAnsi="Times New Roman" w:cs="Times New Roman"/>
          <w:sz w:val="24"/>
          <w:szCs w:val="24"/>
          <w:vertAlign w:val="subscript"/>
        </w:rPr>
        <w:t>H</w:t>
      </w:r>
      <w:r w:rsidR="0052104B" w:rsidRPr="0052104B">
        <w:rPr>
          <w:rFonts w:ascii="Times New Roman" w:hAnsi="Times New Roman" w:cs="Times New Roman"/>
          <w:sz w:val="24"/>
          <w:szCs w:val="24"/>
        </w:rPr>
        <w:t>​ is closer to 0 eV, indicating that hydrogen adsorbs strongly when its chemical potential is favorable. As temperature rises, hydrogen adsorption decreases due to thermal desorption</w:t>
      </w:r>
      <w:r w:rsidR="003949BE">
        <w:rPr>
          <w:rFonts w:ascii="Times New Roman" w:hAnsi="Times New Roman" w:cs="Times New Roman"/>
          <w:sz w:val="24"/>
          <w:szCs w:val="24"/>
        </w:rPr>
        <w:t>.</w:t>
      </w:r>
      <w:r w:rsidR="006D0408" w:rsidRPr="006D0408">
        <w:t xml:space="preserve"> </w:t>
      </w:r>
      <w:r w:rsidR="006D0408" w:rsidRPr="006D0408">
        <w:rPr>
          <w:rFonts w:ascii="Times New Roman" w:hAnsi="Times New Roman" w:cs="Times New Roman"/>
          <w:sz w:val="24"/>
          <w:szCs w:val="24"/>
        </w:rPr>
        <w:t xml:space="preserve">The nitrogen coverage phase diagram </w:t>
      </w:r>
      <w:r w:rsidR="006D0408" w:rsidRPr="006D0408">
        <w:rPr>
          <w:rFonts w:ascii="Cambria Math" w:hAnsi="Cambria Math" w:cs="Cambria Math"/>
          <w:sz w:val="24"/>
          <w:szCs w:val="24"/>
        </w:rPr>
        <w:t>⟨</w:t>
      </w:r>
      <w:r w:rsidR="006D0408" w:rsidRPr="006D0408">
        <w:rPr>
          <w:rFonts w:ascii="Times New Roman" w:hAnsi="Times New Roman" w:cs="Times New Roman"/>
          <w:sz w:val="24"/>
          <w:szCs w:val="24"/>
        </w:rPr>
        <w:t>θ</w:t>
      </w:r>
      <w:r w:rsidR="006D0408" w:rsidRPr="00BC3AF0">
        <w:rPr>
          <w:rFonts w:ascii="Times New Roman" w:hAnsi="Times New Roman" w:cs="Times New Roman"/>
          <w:sz w:val="24"/>
          <w:szCs w:val="24"/>
          <w:vertAlign w:val="subscript"/>
        </w:rPr>
        <w:t>N</w:t>
      </w:r>
      <w:r w:rsidR="006D0408" w:rsidRPr="006D0408">
        <w:rPr>
          <w:rFonts w:ascii="Cambria Math" w:hAnsi="Cambria Math" w:cs="Cambria Math"/>
          <w:sz w:val="24"/>
          <w:szCs w:val="24"/>
        </w:rPr>
        <w:t>⟩</w:t>
      </w:r>
      <w:r w:rsidR="006D0408" w:rsidRPr="006D0408">
        <w:rPr>
          <w:rFonts w:ascii="Times New Roman" w:hAnsi="Times New Roman" w:cs="Times New Roman"/>
          <w:sz w:val="24"/>
          <w:szCs w:val="24"/>
        </w:rPr>
        <w:t xml:space="preserve"> shows a similar trend, with high nitrogen coverage at lower μ</w:t>
      </w:r>
      <w:r w:rsidR="006D0408" w:rsidRPr="00BC3AF0">
        <w:rPr>
          <w:rFonts w:ascii="Times New Roman" w:hAnsi="Times New Roman" w:cs="Times New Roman"/>
          <w:sz w:val="24"/>
          <w:szCs w:val="24"/>
          <w:vertAlign w:val="subscript"/>
        </w:rPr>
        <w:t>H</w:t>
      </w:r>
      <w:r w:rsidR="006D0408" w:rsidRPr="006D0408">
        <w:rPr>
          <w:rFonts w:ascii="Times New Roman" w:hAnsi="Times New Roman" w:cs="Times New Roman"/>
          <w:sz w:val="24"/>
          <w:szCs w:val="24"/>
        </w:rPr>
        <w:t>​ values and low temperatures. As μ</w:t>
      </w:r>
      <w:r w:rsidR="006D0408" w:rsidRPr="00327361">
        <w:rPr>
          <w:rFonts w:ascii="Times New Roman" w:hAnsi="Times New Roman" w:cs="Times New Roman"/>
          <w:sz w:val="24"/>
          <w:szCs w:val="24"/>
          <w:vertAlign w:val="subscript"/>
        </w:rPr>
        <w:t>H</w:t>
      </w:r>
      <w:r w:rsidR="006D0408" w:rsidRPr="006D0408">
        <w:rPr>
          <w:rFonts w:ascii="Times New Roman" w:hAnsi="Times New Roman" w:cs="Times New Roman"/>
          <w:sz w:val="24"/>
          <w:szCs w:val="24"/>
        </w:rPr>
        <w:t>​ increases, hydrogen begins to outcompete nitrogen, reducing nitrogen coverage on the lattice. At μ</w:t>
      </w:r>
      <w:r w:rsidR="006D0408" w:rsidRPr="0016301E">
        <w:rPr>
          <w:rFonts w:ascii="Times New Roman" w:hAnsi="Times New Roman" w:cs="Times New Roman"/>
          <w:sz w:val="24"/>
          <w:szCs w:val="24"/>
          <w:vertAlign w:val="subscript"/>
        </w:rPr>
        <w:t>H</w:t>
      </w:r>
      <w:r w:rsidR="007C7B56">
        <w:rPr>
          <w:rFonts w:ascii="Times New Roman" w:hAnsi="Times New Roman" w:cs="Times New Roman"/>
          <w:sz w:val="24"/>
          <w:szCs w:val="24"/>
          <w:vertAlign w:val="subscript"/>
        </w:rPr>
        <w:t xml:space="preserve"> </w:t>
      </w:r>
      <w:r w:rsidR="006D0408" w:rsidRPr="006D0408">
        <w:rPr>
          <w:rFonts w:ascii="Times New Roman" w:hAnsi="Times New Roman" w:cs="Times New Roman"/>
          <w:sz w:val="24"/>
          <w:szCs w:val="24"/>
        </w:rPr>
        <w:t>=</w:t>
      </w:r>
      <w:r w:rsidR="007C7B56">
        <w:rPr>
          <w:rFonts w:ascii="Times New Roman" w:hAnsi="Times New Roman" w:cs="Times New Roman"/>
          <w:sz w:val="24"/>
          <w:szCs w:val="24"/>
        </w:rPr>
        <w:t xml:space="preserve"> </w:t>
      </w:r>
      <w:r w:rsidR="006D0408" w:rsidRPr="006D0408">
        <w:rPr>
          <w:rFonts w:ascii="Times New Roman" w:hAnsi="Times New Roman" w:cs="Times New Roman"/>
          <w:sz w:val="24"/>
          <w:szCs w:val="24"/>
        </w:rPr>
        <w:t>−0.1 eV, the coverage values of hydrogen and nitrogen become nearly equal, leading to direct competition for lattice sites. This balance reflects the tendency of both gases to adsorb at similar levels when neither has a significant chemical potential advantage.</w:t>
      </w:r>
      <w:r w:rsidR="0061653E">
        <w:rPr>
          <w:rFonts w:ascii="Times New Roman" w:hAnsi="Times New Roman" w:cs="Times New Roman"/>
          <w:sz w:val="24"/>
          <w:szCs w:val="24"/>
        </w:rPr>
        <w:t xml:space="preserve"> </w:t>
      </w:r>
      <w:r w:rsidR="0052104B" w:rsidRPr="0052104B">
        <w:rPr>
          <w:rFonts w:ascii="Times New Roman" w:hAnsi="Times New Roman" w:cs="Times New Roman"/>
          <w:sz w:val="24"/>
          <w:szCs w:val="24"/>
        </w:rPr>
        <w:t xml:space="preserve">The combined coverage phase diagram </w:t>
      </w:r>
      <w:r w:rsidR="0052104B" w:rsidRPr="0052104B">
        <w:rPr>
          <w:rFonts w:ascii="Cambria Math" w:hAnsi="Cambria Math" w:cs="Cambria Math"/>
          <w:sz w:val="24"/>
          <w:szCs w:val="24"/>
        </w:rPr>
        <w:t>⟨</w:t>
      </w:r>
      <w:r w:rsidR="0052104B" w:rsidRPr="0052104B">
        <w:rPr>
          <w:rFonts w:ascii="Times New Roman" w:hAnsi="Times New Roman" w:cs="Times New Roman"/>
          <w:sz w:val="24"/>
          <w:szCs w:val="24"/>
        </w:rPr>
        <w:t>θ</w:t>
      </w:r>
      <w:r w:rsidR="0052104B" w:rsidRPr="0052104B">
        <w:rPr>
          <w:rFonts w:ascii="Times New Roman" w:hAnsi="Times New Roman" w:cs="Times New Roman"/>
          <w:sz w:val="24"/>
          <w:szCs w:val="24"/>
          <w:vertAlign w:val="subscript"/>
        </w:rPr>
        <w:t>H</w:t>
      </w:r>
      <w:r w:rsidR="0052104B" w:rsidRPr="0052104B">
        <w:rPr>
          <w:rFonts w:ascii="Times New Roman" w:hAnsi="Times New Roman" w:cs="Times New Roman"/>
          <w:sz w:val="24"/>
          <w:szCs w:val="24"/>
        </w:rPr>
        <w:t>+θ</w:t>
      </w:r>
      <w:r w:rsidR="0052104B" w:rsidRPr="0052104B">
        <w:rPr>
          <w:rFonts w:ascii="Times New Roman" w:hAnsi="Times New Roman" w:cs="Times New Roman"/>
          <w:sz w:val="24"/>
          <w:szCs w:val="24"/>
          <w:vertAlign w:val="subscript"/>
        </w:rPr>
        <w:t>N</w:t>
      </w:r>
      <w:r w:rsidR="0052104B" w:rsidRPr="0052104B">
        <w:rPr>
          <w:rFonts w:ascii="Cambria Math" w:hAnsi="Cambria Math" w:cs="Cambria Math"/>
          <w:sz w:val="24"/>
          <w:szCs w:val="24"/>
        </w:rPr>
        <w:t>⟩</w:t>
      </w:r>
      <w:r w:rsidR="0052104B" w:rsidRPr="0052104B">
        <w:rPr>
          <w:rFonts w:ascii="Times New Roman" w:hAnsi="Times New Roman" w:cs="Times New Roman"/>
          <w:sz w:val="24"/>
          <w:szCs w:val="24"/>
        </w:rPr>
        <w:t xml:space="preserve"> reveals that the lattice is fully occupied across all μ</w:t>
      </w:r>
      <w:r w:rsidR="0052104B" w:rsidRPr="0052104B">
        <w:rPr>
          <w:rFonts w:ascii="Times New Roman" w:hAnsi="Times New Roman" w:cs="Times New Roman"/>
          <w:sz w:val="24"/>
          <w:szCs w:val="24"/>
          <w:vertAlign w:val="subscript"/>
        </w:rPr>
        <w:t>H</w:t>
      </w:r>
      <w:r w:rsidR="0052104B" w:rsidRPr="0052104B">
        <w:rPr>
          <w:rFonts w:ascii="Times New Roman" w:hAnsi="Times New Roman" w:cs="Times New Roman"/>
          <w:sz w:val="24"/>
          <w:szCs w:val="24"/>
        </w:rPr>
        <w:t>​ and T values. However, the lattice configurations in the bottom row show that hydrogen and nitrogen do not mix. Instead, they form distinct clusters, reflecting their immiscible behavior.</w:t>
      </w:r>
    </w:p>
    <w:p w14:paraId="14C57FB1" w14:textId="3A1FC0BD" w:rsidR="0052104B" w:rsidRPr="0052104B" w:rsidRDefault="0052104B" w:rsidP="001D16EC">
      <w:pPr>
        <w:spacing w:line="360" w:lineRule="auto"/>
        <w:ind w:firstLine="360"/>
        <w:jc w:val="both"/>
        <w:rPr>
          <w:rFonts w:ascii="Times New Roman" w:hAnsi="Times New Roman" w:cs="Times New Roman"/>
          <w:sz w:val="24"/>
          <w:szCs w:val="24"/>
        </w:rPr>
      </w:pPr>
      <w:r w:rsidRPr="0052104B">
        <w:rPr>
          <w:rFonts w:ascii="Times New Roman" w:hAnsi="Times New Roman" w:cs="Times New Roman"/>
          <w:sz w:val="24"/>
          <w:szCs w:val="24"/>
        </w:rPr>
        <w:t>In the lattice configurations, at μ</w:t>
      </w:r>
      <w:r w:rsidRPr="0052104B">
        <w:rPr>
          <w:rFonts w:ascii="Times New Roman" w:hAnsi="Times New Roman" w:cs="Times New Roman"/>
          <w:sz w:val="24"/>
          <w:szCs w:val="24"/>
          <w:vertAlign w:val="subscript"/>
        </w:rPr>
        <w:t>H</w:t>
      </w:r>
      <w:r w:rsidRPr="0052104B">
        <w:rPr>
          <w:rFonts w:ascii="Times New Roman" w:hAnsi="Times New Roman" w:cs="Times New Roman"/>
          <w:sz w:val="24"/>
          <w:szCs w:val="24"/>
        </w:rPr>
        <w:t>=−0.2 eV, nitrogen occupies most of the lattice, while hydrogen appears in isolated clusters. As μ</w:t>
      </w:r>
      <w:r w:rsidRPr="0052104B">
        <w:rPr>
          <w:rFonts w:ascii="Times New Roman" w:hAnsi="Times New Roman" w:cs="Times New Roman"/>
          <w:sz w:val="24"/>
          <w:szCs w:val="24"/>
          <w:vertAlign w:val="subscript"/>
        </w:rPr>
        <w:t>H</w:t>
      </w:r>
      <w:r w:rsidRPr="0052104B">
        <w:rPr>
          <w:rFonts w:ascii="Times New Roman" w:hAnsi="Times New Roman" w:cs="Times New Roman"/>
          <w:sz w:val="24"/>
          <w:szCs w:val="24"/>
        </w:rPr>
        <w:t xml:space="preserve"> increases to -0.1 eV, hydrogen coverage expands, leading to more clustering and a decrease in nitrogen coverage. By μ</w:t>
      </w:r>
      <w:r w:rsidRPr="0052104B">
        <w:rPr>
          <w:rFonts w:ascii="Times New Roman" w:hAnsi="Times New Roman" w:cs="Times New Roman"/>
          <w:sz w:val="24"/>
          <w:szCs w:val="24"/>
          <w:vertAlign w:val="subscript"/>
        </w:rPr>
        <w:t>H</w:t>
      </w:r>
      <w:r w:rsidRPr="0052104B">
        <w:rPr>
          <w:rFonts w:ascii="Times New Roman" w:hAnsi="Times New Roman" w:cs="Times New Roman"/>
          <w:sz w:val="24"/>
          <w:szCs w:val="24"/>
        </w:rPr>
        <w:t>=0 eV, hydrogen dominates the lattice</w:t>
      </w:r>
      <w:r w:rsidR="00744815">
        <w:rPr>
          <w:rFonts w:ascii="Times New Roman" w:hAnsi="Times New Roman" w:cs="Times New Roman" w:hint="eastAsia"/>
          <w:sz w:val="24"/>
          <w:szCs w:val="24"/>
        </w:rPr>
        <w:t xml:space="preserve"> (</w:t>
      </w:r>
      <w:r w:rsidR="00744815" w:rsidRPr="00AA51D1">
        <w:rPr>
          <w:rFonts w:ascii="Times New Roman" w:hAnsi="Times New Roman" w:cs="Times New Roman" w:hint="eastAsia"/>
          <w:b/>
          <w:bCs/>
          <w:sz w:val="24"/>
          <w:szCs w:val="24"/>
        </w:rPr>
        <w:t>Figure 4</w:t>
      </w:r>
      <w:r w:rsidR="003168B8">
        <w:rPr>
          <w:rFonts w:ascii="Times New Roman" w:hAnsi="Times New Roman" w:cs="Times New Roman" w:hint="eastAsia"/>
          <w:b/>
          <w:bCs/>
          <w:sz w:val="24"/>
          <w:szCs w:val="24"/>
        </w:rPr>
        <w:t>B</w:t>
      </w:r>
      <w:r w:rsidR="00744815">
        <w:rPr>
          <w:rFonts w:ascii="Times New Roman" w:hAnsi="Times New Roman" w:cs="Times New Roman" w:hint="eastAsia"/>
          <w:sz w:val="24"/>
          <w:szCs w:val="24"/>
        </w:rPr>
        <w:t>)</w:t>
      </w:r>
      <w:r w:rsidRPr="0052104B">
        <w:rPr>
          <w:rFonts w:ascii="Times New Roman" w:hAnsi="Times New Roman" w:cs="Times New Roman"/>
          <w:sz w:val="24"/>
          <w:szCs w:val="24"/>
        </w:rPr>
        <w:t>.</w:t>
      </w:r>
    </w:p>
    <w:p w14:paraId="77C062EB" w14:textId="77777777" w:rsidR="0052104B" w:rsidRPr="0052104B" w:rsidRDefault="0052104B" w:rsidP="001D16EC">
      <w:pPr>
        <w:spacing w:line="360" w:lineRule="auto"/>
        <w:ind w:firstLine="360"/>
        <w:jc w:val="both"/>
        <w:rPr>
          <w:rFonts w:ascii="Times New Roman" w:hAnsi="Times New Roman" w:cs="Times New Roman"/>
          <w:sz w:val="24"/>
          <w:szCs w:val="24"/>
        </w:rPr>
      </w:pPr>
      <w:r w:rsidRPr="0052104B">
        <w:rPr>
          <w:rFonts w:ascii="Times New Roman" w:hAnsi="Times New Roman" w:cs="Times New Roman"/>
          <w:sz w:val="24"/>
          <w:szCs w:val="24"/>
        </w:rPr>
        <w:t>These results highlight the immiscibility of hydrogen and nitrogen on the lattice. Each gas prefers to cluster with its own kind rather than mix. This behavior is driven by the repulsive interactions between hydrogen and nitrogen, causing them to form distinct domains even when both adsorb on the lattice.</w:t>
      </w:r>
    </w:p>
    <w:p w14:paraId="5245877F" w14:textId="6D5680E0" w:rsidR="00EB3EDB" w:rsidRDefault="00EB3EDB">
      <w:pPr>
        <w:rPr>
          <w:rFonts w:ascii="Times New Roman" w:hAnsi="Times New Roman" w:cs="Times New Roman"/>
          <w:sz w:val="24"/>
          <w:szCs w:val="24"/>
        </w:rPr>
      </w:pPr>
      <w:r>
        <w:rPr>
          <w:rFonts w:ascii="Times New Roman" w:hAnsi="Times New Roman" w:cs="Times New Roman"/>
          <w:sz w:val="24"/>
          <w:szCs w:val="24"/>
        </w:rPr>
        <w:br w:type="page"/>
      </w:r>
    </w:p>
    <w:p w14:paraId="506C07A6" w14:textId="4B1C8192" w:rsidR="00834461" w:rsidRPr="00834461" w:rsidRDefault="00834461" w:rsidP="001D16EC">
      <w:pPr>
        <w:pStyle w:val="a3"/>
        <w:numPr>
          <w:ilvl w:val="1"/>
          <w:numId w:val="15"/>
        </w:numPr>
        <w:spacing w:line="360" w:lineRule="auto"/>
        <w:ind w:leftChars="0"/>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Pr="00834461">
        <w:rPr>
          <w:rFonts w:ascii="Times New Roman" w:hAnsi="Times New Roman" w:cs="Times New Roman"/>
          <w:b/>
          <w:bCs/>
          <w:sz w:val="24"/>
          <w:szCs w:val="24"/>
        </w:rPr>
        <w:t>Like Dissolves Unlike</w:t>
      </w:r>
      <w:r w:rsidR="00896C6B">
        <w:rPr>
          <w:rFonts w:ascii="Times New Roman" w:hAnsi="Times New Roman" w:cs="Times New Roman" w:hint="eastAsia"/>
          <w:b/>
          <w:bCs/>
          <w:sz w:val="24"/>
          <w:szCs w:val="24"/>
        </w:rPr>
        <w:t xml:space="preserve"> Scenario</w:t>
      </w:r>
    </w:p>
    <w:p w14:paraId="7E017638" w14:textId="09992C32" w:rsidR="00284537" w:rsidRDefault="00332B59" w:rsidP="001D16EC">
      <w:pPr>
        <w:spacing w:line="360" w:lineRule="auto"/>
        <w:ind w:firstLine="360"/>
        <w:jc w:val="both"/>
        <w:rPr>
          <w:rFonts w:ascii="Times New Roman" w:hAnsi="Times New Roman" w:cs="Times New Roman"/>
          <w:sz w:val="24"/>
          <w:szCs w:val="24"/>
        </w:rPr>
      </w:pPr>
      <w:r>
        <w:rPr>
          <w:noProof/>
        </w:rPr>
        <w:drawing>
          <wp:inline distT="0" distB="0" distL="0" distR="0" wp14:anchorId="40F93DF5" wp14:editId="2180EFDC">
            <wp:extent cx="4953953" cy="3427013"/>
            <wp:effectExtent l="0" t="0" r="0" b="2540"/>
            <wp:docPr id="1953035212"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8442" cy="3443954"/>
                    </a:xfrm>
                    <a:prstGeom prst="rect">
                      <a:avLst/>
                    </a:prstGeom>
                    <a:noFill/>
                    <a:ln>
                      <a:noFill/>
                    </a:ln>
                  </pic:spPr>
                </pic:pic>
              </a:graphicData>
            </a:graphic>
          </wp:inline>
        </w:drawing>
      </w:r>
    </w:p>
    <w:p w14:paraId="132008EC" w14:textId="6D77951A" w:rsidR="00801B42" w:rsidRPr="00801B42" w:rsidRDefault="00801B42" w:rsidP="00801B42">
      <w:pPr>
        <w:pStyle w:val="a4"/>
        <w:spacing w:line="360" w:lineRule="auto"/>
        <w:rPr>
          <w:rFonts w:eastAsiaTheme="minorEastAsia"/>
          <w:kern w:val="2"/>
          <w14:ligatures w14:val="standardContextual"/>
        </w:rPr>
      </w:pPr>
      <w:r>
        <w:rPr>
          <w:rFonts w:eastAsiaTheme="minorEastAsia" w:hint="eastAsia"/>
          <w:b/>
          <w:bCs/>
          <w:kern w:val="2"/>
          <w14:ligatures w14:val="standardContextual"/>
        </w:rPr>
        <w:t>Figure</w:t>
      </w:r>
      <w:r w:rsidRPr="00CF6A51">
        <w:rPr>
          <w:rFonts w:eastAsiaTheme="minorEastAsia" w:hint="eastAsia"/>
          <w:b/>
          <w:bCs/>
          <w:kern w:val="2"/>
          <w14:ligatures w14:val="standardContextual"/>
        </w:rPr>
        <w:t xml:space="preserve"> </w:t>
      </w:r>
      <w:r>
        <w:rPr>
          <w:rFonts w:eastAsiaTheme="minorEastAsia" w:hint="eastAsia"/>
          <w:b/>
          <w:bCs/>
          <w:kern w:val="2"/>
          <w14:ligatures w14:val="standardContextual"/>
        </w:rPr>
        <w:t>5</w:t>
      </w:r>
      <w:r>
        <w:rPr>
          <w:rFonts w:eastAsiaTheme="minorEastAsia" w:hint="eastAsia"/>
          <w:kern w:val="2"/>
          <w14:ligatures w14:val="standardContextual"/>
        </w:rPr>
        <w:t xml:space="preserve">. (A) Phase diagram and (B) lattice for </w:t>
      </w:r>
      <w:r>
        <w:rPr>
          <w:rFonts w:eastAsiaTheme="minorEastAsia"/>
          <w:kern w:val="2"/>
          <w14:ligatures w14:val="standardContextual"/>
        </w:rPr>
        <w:t>“</w:t>
      </w:r>
      <w:r>
        <w:rPr>
          <w:rFonts w:eastAsiaTheme="minorEastAsia" w:hint="eastAsia"/>
          <w:kern w:val="2"/>
          <w14:ligatures w14:val="standardContextual"/>
        </w:rPr>
        <w:t>Like Dissolves Unlike</w:t>
      </w:r>
      <w:r>
        <w:rPr>
          <w:rFonts w:eastAsiaTheme="minorEastAsia"/>
          <w:kern w:val="2"/>
          <w14:ligatures w14:val="standardContextual"/>
        </w:rPr>
        <w:t>”</w:t>
      </w:r>
      <w:r>
        <w:rPr>
          <w:rFonts w:eastAsiaTheme="minorEastAsia" w:hint="eastAsia"/>
          <w:kern w:val="2"/>
          <w14:ligatures w14:val="standardContextual"/>
        </w:rPr>
        <w:t xml:space="preserve"> case. The red circle denotes nitrogen and blue circle denotes hydrogen.</w:t>
      </w:r>
    </w:p>
    <w:p w14:paraId="51E5B91B" w14:textId="77777777" w:rsidR="008254D4" w:rsidRPr="0052104B" w:rsidRDefault="008254D4" w:rsidP="001D16EC">
      <w:pPr>
        <w:spacing w:line="360" w:lineRule="auto"/>
        <w:ind w:firstLine="360"/>
        <w:jc w:val="both"/>
        <w:rPr>
          <w:rFonts w:ascii="Times New Roman" w:hAnsi="Times New Roman" w:cs="Times New Roman"/>
          <w:sz w:val="24"/>
          <w:szCs w:val="24"/>
        </w:rPr>
      </w:pPr>
      <w:r w:rsidRPr="008254D4">
        <w:rPr>
          <w:rFonts w:ascii="Times New Roman" w:hAnsi="Times New Roman" w:cs="Times New Roman"/>
          <w:sz w:val="24"/>
          <w:szCs w:val="24"/>
        </w:rPr>
        <w:t xml:space="preserve">In the "like dissolves unlike" case, the results show distinct adsorption patterns for hydrogen and nitrogen with a tendency for each species to avoid clustering with itself. </w:t>
      </w:r>
      <w:r w:rsidRPr="0052104B">
        <w:rPr>
          <w:rFonts w:ascii="Times New Roman" w:hAnsi="Times New Roman" w:cs="Times New Roman"/>
          <w:sz w:val="24"/>
          <w:szCs w:val="24"/>
        </w:rPr>
        <w:t xml:space="preserve">The top row displays phase diagrams </w:t>
      </w:r>
      <w:r>
        <w:rPr>
          <w:rFonts w:ascii="Times New Roman" w:hAnsi="Times New Roman" w:cs="Times New Roman" w:hint="eastAsia"/>
          <w:sz w:val="24"/>
          <w:szCs w:val="24"/>
        </w:rPr>
        <w:t>and t</w:t>
      </w:r>
      <w:r w:rsidRPr="0052104B">
        <w:rPr>
          <w:rFonts w:ascii="Times New Roman" w:hAnsi="Times New Roman" w:cs="Times New Roman"/>
          <w:sz w:val="24"/>
          <w:szCs w:val="24"/>
        </w:rPr>
        <w:t>he bottom row presents the lattice configurations at specific values of μ</w:t>
      </w:r>
      <w:r w:rsidRPr="0052104B">
        <w:rPr>
          <w:rFonts w:ascii="Times New Roman" w:hAnsi="Times New Roman" w:cs="Times New Roman"/>
          <w:sz w:val="24"/>
          <w:szCs w:val="24"/>
          <w:vertAlign w:val="subscript"/>
        </w:rPr>
        <w:t>H</w:t>
      </w:r>
      <w:r>
        <w:rPr>
          <w:rFonts w:ascii="Times New Roman" w:hAnsi="Times New Roman" w:cs="Times New Roman" w:hint="eastAsia"/>
          <w:sz w:val="24"/>
          <w:szCs w:val="24"/>
        </w:rPr>
        <w:t xml:space="preserve"> </w:t>
      </w:r>
      <w:r w:rsidRPr="0052104B">
        <w:rPr>
          <w:rFonts w:ascii="Times New Roman" w:hAnsi="Times New Roman" w:cs="Times New Roman"/>
          <w:sz w:val="24"/>
          <w:szCs w:val="24"/>
        </w:rPr>
        <w:t>and T=116 K.</w:t>
      </w:r>
    </w:p>
    <w:p w14:paraId="79250986" w14:textId="64AA81BA" w:rsidR="008254D4" w:rsidRPr="008254D4" w:rsidRDefault="00D90608" w:rsidP="001D16EC">
      <w:pPr>
        <w:spacing w:line="360" w:lineRule="auto"/>
        <w:ind w:firstLine="360"/>
        <w:jc w:val="both"/>
        <w:rPr>
          <w:rFonts w:ascii="Times New Roman" w:hAnsi="Times New Roman" w:cs="Times New Roman"/>
          <w:sz w:val="24"/>
          <w:szCs w:val="24"/>
        </w:rPr>
      </w:pPr>
      <w:r>
        <w:rPr>
          <w:rFonts w:ascii="Times New Roman" w:hAnsi="Times New Roman" w:cs="Times New Roman" w:hint="eastAsia"/>
          <w:sz w:val="24"/>
          <w:szCs w:val="24"/>
        </w:rPr>
        <w:t>The hydrogen, nitrogen, and combined coverage diagrams are shown in</w:t>
      </w:r>
      <w:r w:rsidR="0003027C">
        <w:rPr>
          <w:rFonts w:ascii="Times New Roman" w:hAnsi="Times New Roman" w:cs="Times New Roman" w:hint="eastAsia"/>
          <w:sz w:val="24"/>
          <w:szCs w:val="24"/>
        </w:rPr>
        <w:t xml:space="preserve"> </w:t>
      </w:r>
      <w:r w:rsidR="0003027C" w:rsidRPr="0003027C">
        <w:rPr>
          <w:rFonts w:ascii="Times New Roman" w:hAnsi="Times New Roman" w:cs="Times New Roman" w:hint="eastAsia"/>
          <w:b/>
          <w:bCs/>
          <w:sz w:val="24"/>
          <w:szCs w:val="24"/>
        </w:rPr>
        <w:t>Figure 5A</w:t>
      </w:r>
      <w:r w:rsidR="0003027C">
        <w:rPr>
          <w:rFonts w:ascii="Times New Roman" w:hAnsi="Times New Roman" w:cs="Times New Roman" w:hint="eastAsia"/>
          <w:b/>
          <w:bCs/>
          <w:sz w:val="24"/>
          <w:szCs w:val="24"/>
        </w:rPr>
        <w:t>.</w:t>
      </w:r>
      <w:r w:rsidR="0003027C">
        <w:rPr>
          <w:rFonts w:ascii="Times New Roman" w:hAnsi="Times New Roman" w:cs="Times New Roman" w:hint="eastAsia"/>
          <w:sz w:val="24"/>
          <w:szCs w:val="24"/>
        </w:rPr>
        <w:t xml:space="preserve"> </w:t>
      </w:r>
      <w:r w:rsidR="008254D4" w:rsidRPr="008254D4">
        <w:rPr>
          <w:rFonts w:ascii="Times New Roman" w:hAnsi="Times New Roman" w:cs="Times New Roman"/>
          <w:sz w:val="24"/>
          <w:szCs w:val="24"/>
        </w:rPr>
        <w:t xml:space="preserve">In the hydrogen coverage phase diagram </w:t>
      </w:r>
      <w:r w:rsidR="008254D4" w:rsidRPr="008254D4">
        <w:rPr>
          <w:rFonts w:ascii="Cambria Math" w:hAnsi="Cambria Math" w:cs="Cambria Math"/>
          <w:sz w:val="24"/>
          <w:szCs w:val="24"/>
        </w:rPr>
        <w:t>⟨</w:t>
      </w:r>
      <w:r w:rsidR="008254D4" w:rsidRPr="008254D4">
        <w:rPr>
          <w:rFonts w:ascii="Times New Roman" w:hAnsi="Times New Roman" w:cs="Times New Roman"/>
          <w:sz w:val="24"/>
          <w:szCs w:val="24"/>
        </w:rPr>
        <w:t>θ</w:t>
      </w:r>
      <w:r w:rsidR="008254D4" w:rsidRPr="008254D4">
        <w:rPr>
          <w:rFonts w:ascii="Times New Roman" w:hAnsi="Times New Roman" w:cs="Times New Roman"/>
          <w:sz w:val="24"/>
          <w:szCs w:val="24"/>
          <w:vertAlign w:val="subscript"/>
        </w:rPr>
        <w:t>H</w:t>
      </w:r>
      <w:r w:rsidR="008254D4" w:rsidRPr="008254D4">
        <w:rPr>
          <w:rFonts w:ascii="Cambria Math" w:hAnsi="Cambria Math" w:cs="Cambria Math"/>
          <w:sz w:val="24"/>
          <w:szCs w:val="24"/>
        </w:rPr>
        <w:t>⟩</w:t>
      </w:r>
      <w:r w:rsidR="008254D4" w:rsidRPr="008254D4">
        <w:rPr>
          <w:rFonts w:ascii="Times New Roman" w:hAnsi="Times New Roman" w:cs="Times New Roman"/>
          <w:sz w:val="24"/>
          <w:szCs w:val="24"/>
        </w:rPr>
        <w:t>, hydrogen adsorption increases slightly as μ</w:t>
      </w:r>
      <w:r w:rsidR="008254D4" w:rsidRPr="008254D4">
        <w:rPr>
          <w:rFonts w:ascii="Times New Roman" w:hAnsi="Times New Roman" w:cs="Times New Roman"/>
          <w:sz w:val="24"/>
          <w:szCs w:val="24"/>
          <w:vertAlign w:val="subscript"/>
        </w:rPr>
        <w:t>H</w:t>
      </w:r>
      <w:r w:rsidR="008254D4" w:rsidRPr="008254D4">
        <w:rPr>
          <w:rFonts w:ascii="Times New Roman" w:hAnsi="Times New Roman" w:cs="Times New Roman"/>
          <w:sz w:val="24"/>
          <w:szCs w:val="24"/>
        </w:rPr>
        <w:t xml:space="preserve"> becomes more positive. This indicates that hydrogen coverage responds to favorable chemical potentials, but not to the extent seen in previous cases. The coverage remains relatively consistent, showing moderate adsorption levels at low </w:t>
      </w:r>
      <w:r w:rsidR="002F1F7A">
        <w:rPr>
          <w:rFonts w:ascii="Times New Roman" w:hAnsi="Times New Roman" w:cs="Times New Roman" w:hint="eastAsia"/>
          <w:sz w:val="24"/>
          <w:szCs w:val="24"/>
        </w:rPr>
        <w:t>temperature condition</w:t>
      </w:r>
      <w:r w:rsidR="008254D4" w:rsidRPr="008254D4">
        <w:rPr>
          <w:rFonts w:ascii="Times New Roman" w:hAnsi="Times New Roman" w:cs="Times New Roman"/>
          <w:sz w:val="24"/>
          <w:szCs w:val="24"/>
        </w:rPr>
        <w:t>.</w:t>
      </w:r>
      <w:r w:rsidR="00AB6D75">
        <w:rPr>
          <w:rFonts w:ascii="Times New Roman" w:hAnsi="Times New Roman" w:cs="Times New Roman" w:hint="eastAsia"/>
          <w:sz w:val="24"/>
          <w:szCs w:val="24"/>
        </w:rPr>
        <w:t xml:space="preserve"> </w:t>
      </w:r>
      <w:r w:rsidR="008254D4" w:rsidRPr="008254D4">
        <w:rPr>
          <w:rFonts w:ascii="Times New Roman" w:hAnsi="Times New Roman" w:cs="Times New Roman"/>
          <w:sz w:val="24"/>
          <w:szCs w:val="24"/>
        </w:rPr>
        <w:t xml:space="preserve">The nitrogen coverage phase diagram </w:t>
      </w:r>
      <w:r w:rsidR="008254D4" w:rsidRPr="008254D4">
        <w:rPr>
          <w:rFonts w:ascii="Cambria Math" w:hAnsi="Cambria Math" w:cs="Cambria Math"/>
          <w:sz w:val="24"/>
          <w:szCs w:val="24"/>
        </w:rPr>
        <w:t>⟨</w:t>
      </w:r>
      <w:r w:rsidR="008254D4" w:rsidRPr="008254D4">
        <w:rPr>
          <w:rFonts w:ascii="Times New Roman" w:hAnsi="Times New Roman" w:cs="Times New Roman"/>
          <w:sz w:val="24"/>
          <w:szCs w:val="24"/>
        </w:rPr>
        <w:t>θ</w:t>
      </w:r>
      <w:r w:rsidR="008254D4" w:rsidRPr="008254D4">
        <w:rPr>
          <w:rFonts w:ascii="Times New Roman" w:hAnsi="Times New Roman" w:cs="Times New Roman"/>
          <w:sz w:val="24"/>
          <w:szCs w:val="24"/>
          <w:vertAlign w:val="subscript"/>
        </w:rPr>
        <w:t>N</w:t>
      </w:r>
      <w:r w:rsidR="008254D4" w:rsidRPr="008254D4">
        <w:rPr>
          <w:rFonts w:ascii="Cambria Math" w:hAnsi="Cambria Math" w:cs="Cambria Math"/>
          <w:sz w:val="24"/>
          <w:szCs w:val="24"/>
        </w:rPr>
        <w:t>⟩</w:t>
      </w:r>
      <w:r w:rsidR="008254D4" w:rsidRPr="008254D4">
        <w:rPr>
          <w:rFonts w:ascii="Times New Roman" w:hAnsi="Times New Roman" w:cs="Times New Roman"/>
          <w:sz w:val="24"/>
          <w:szCs w:val="24"/>
        </w:rPr>
        <w:t xml:space="preserve"> shows a similar trend. Nitrogen adsorbs across the lattice and is only moderately affected by changes in μ</w:t>
      </w:r>
      <w:r w:rsidR="008254D4" w:rsidRPr="008254D4">
        <w:rPr>
          <w:rFonts w:ascii="Times New Roman" w:hAnsi="Times New Roman" w:cs="Times New Roman"/>
          <w:sz w:val="24"/>
          <w:szCs w:val="24"/>
          <w:vertAlign w:val="subscript"/>
        </w:rPr>
        <w:t>H</w:t>
      </w:r>
      <w:r w:rsidR="008254D4" w:rsidRPr="008254D4">
        <w:rPr>
          <w:rFonts w:ascii="Times New Roman" w:hAnsi="Times New Roman" w:cs="Times New Roman"/>
          <w:sz w:val="24"/>
          <w:szCs w:val="24"/>
        </w:rPr>
        <w:t>​. Both gases maintain a steady presence on the lattice as temperature remains low.</w:t>
      </w:r>
      <w:r w:rsidR="00E8153D">
        <w:rPr>
          <w:rFonts w:ascii="Times New Roman" w:hAnsi="Times New Roman" w:cs="Times New Roman" w:hint="eastAsia"/>
          <w:sz w:val="24"/>
          <w:szCs w:val="24"/>
        </w:rPr>
        <w:t xml:space="preserve"> </w:t>
      </w:r>
      <w:r w:rsidR="008254D4" w:rsidRPr="008254D4">
        <w:rPr>
          <w:rFonts w:ascii="Times New Roman" w:hAnsi="Times New Roman" w:cs="Times New Roman"/>
          <w:sz w:val="24"/>
          <w:szCs w:val="24"/>
        </w:rPr>
        <w:t xml:space="preserve">The combined coverage phase diagram </w:t>
      </w:r>
      <w:r w:rsidR="008254D4" w:rsidRPr="008254D4">
        <w:rPr>
          <w:rFonts w:ascii="Cambria Math" w:hAnsi="Cambria Math" w:cs="Cambria Math"/>
          <w:sz w:val="24"/>
          <w:szCs w:val="24"/>
        </w:rPr>
        <w:t>⟨</w:t>
      </w:r>
      <w:r w:rsidR="008254D4" w:rsidRPr="008254D4">
        <w:rPr>
          <w:rFonts w:ascii="Times New Roman" w:hAnsi="Times New Roman" w:cs="Times New Roman"/>
          <w:sz w:val="24"/>
          <w:szCs w:val="24"/>
        </w:rPr>
        <w:t>θ</w:t>
      </w:r>
      <w:r w:rsidR="008254D4" w:rsidRPr="008254D4">
        <w:rPr>
          <w:rFonts w:ascii="Times New Roman" w:hAnsi="Times New Roman" w:cs="Times New Roman"/>
          <w:sz w:val="24"/>
          <w:szCs w:val="24"/>
          <w:vertAlign w:val="subscript"/>
        </w:rPr>
        <w:t>H</w:t>
      </w:r>
      <w:r w:rsidR="008254D4" w:rsidRPr="008254D4">
        <w:rPr>
          <w:rFonts w:ascii="Times New Roman" w:hAnsi="Times New Roman" w:cs="Times New Roman"/>
          <w:sz w:val="24"/>
          <w:szCs w:val="24"/>
        </w:rPr>
        <w:t>+θ</w:t>
      </w:r>
      <w:r w:rsidR="008254D4" w:rsidRPr="008254D4">
        <w:rPr>
          <w:rFonts w:ascii="Times New Roman" w:hAnsi="Times New Roman" w:cs="Times New Roman"/>
          <w:sz w:val="24"/>
          <w:szCs w:val="24"/>
          <w:vertAlign w:val="subscript"/>
        </w:rPr>
        <w:t>N</w:t>
      </w:r>
      <w:r w:rsidR="008254D4" w:rsidRPr="008254D4">
        <w:rPr>
          <w:rFonts w:ascii="Cambria Math" w:hAnsi="Cambria Math" w:cs="Cambria Math"/>
          <w:sz w:val="24"/>
          <w:szCs w:val="24"/>
        </w:rPr>
        <w:t>⟩</w:t>
      </w:r>
      <w:r w:rsidR="008254D4" w:rsidRPr="008254D4">
        <w:rPr>
          <w:rFonts w:ascii="Times New Roman" w:hAnsi="Times New Roman" w:cs="Times New Roman"/>
          <w:sz w:val="24"/>
          <w:szCs w:val="24"/>
        </w:rPr>
        <w:t xml:space="preserve"> is nearly saturated across all μ</w:t>
      </w:r>
      <w:r w:rsidR="008254D4" w:rsidRPr="008254D4">
        <w:rPr>
          <w:rFonts w:ascii="Times New Roman" w:hAnsi="Times New Roman" w:cs="Times New Roman"/>
          <w:sz w:val="24"/>
          <w:szCs w:val="24"/>
          <w:vertAlign w:val="subscript"/>
        </w:rPr>
        <w:t>H</w:t>
      </w:r>
      <w:r w:rsidR="008254D4" w:rsidRPr="008254D4">
        <w:rPr>
          <w:rFonts w:ascii="Times New Roman" w:hAnsi="Times New Roman" w:cs="Times New Roman"/>
          <w:sz w:val="24"/>
          <w:szCs w:val="24"/>
        </w:rPr>
        <w:t xml:space="preserve">​ values at low </w:t>
      </w:r>
      <w:r w:rsidR="008254D4" w:rsidRPr="008254D4">
        <w:rPr>
          <w:rFonts w:ascii="Times New Roman" w:hAnsi="Times New Roman" w:cs="Times New Roman"/>
          <w:sz w:val="24"/>
          <w:szCs w:val="24"/>
        </w:rPr>
        <w:lastRenderedPageBreak/>
        <w:t>temperatures, indicating that both gases are adsorbing to nearly fill the lattice. However, unlike in previous cases, hydrogen and nitrogen do not cluster with themselves; instead, they mix more evenly, consistent with the "like dissolves unlike" interaction.</w:t>
      </w:r>
    </w:p>
    <w:p w14:paraId="1CEB63A0" w14:textId="2E967928" w:rsidR="008254D4" w:rsidRPr="008254D4" w:rsidRDefault="008254D4" w:rsidP="001D16EC">
      <w:pPr>
        <w:spacing w:line="360" w:lineRule="auto"/>
        <w:ind w:firstLine="360"/>
        <w:jc w:val="both"/>
        <w:rPr>
          <w:rFonts w:ascii="Times New Roman" w:hAnsi="Times New Roman" w:cs="Times New Roman"/>
          <w:sz w:val="24"/>
          <w:szCs w:val="24"/>
        </w:rPr>
      </w:pPr>
      <w:r w:rsidRPr="008254D4">
        <w:rPr>
          <w:rFonts w:ascii="Times New Roman" w:hAnsi="Times New Roman" w:cs="Times New Roman"/>
          <w:sz w:val="24"/>
          <w:szCs w:val="24"/>
        </w:rPr>
        <w:t>The lattice configurations reveal this behavior</w:t>
      </w:r>
      <w:r w:rsidR="005D4B94">
        <w:rPr>
          <w:rFonts w:ascii="Times New Roman" w:hAnsi="Times New Roman" w:cs="Times New Roman" w:hint="eastAsia"/>
          <w:sz w:val="24"/>
          <w:szCs w:val="24"/>
        </w:rPr>
        <w:t xml:space="preserve"> (</w:t>
      </w:r>
      <w:r w:rsidR="005D4B94" w:rsidRPr="005D4B94">
        <w:rPr>
          <w:rFonts w:ascii="Times New Roman" w:hAnsi="Times New Roman" w:cs="Times New Roman" w:hint="eastAsia"/>
          <w:b/>
          <w:bCs/>
          <w:sz w:val="24"/>
          <w:szCs w:val="24"/>
        </w:rPr>
        <w:t>Figure 5B</w:t>
      </w:r>
      <w:r w:rsidR="005D4B94">
        <w:rPr>
          <w:rFonts w:ascii="Times New Roman" w:hAnsi="Times New Roman" w:cs="Times New Roman" w:hint="eastAsia"/>
          <w:sz w:val="24"/>
          <w:szCs w:val="24"/>
        </w:rPr>
        <w:t>)</w:t>
      </w:r>
      <w:r w:rsidRPr="008254D4">
        <w:rPr>
          <w:rFonts w:ascii="Times New Roman" w:hAnsi="Times New Roman" w:cs="Times New Roman"/>
          <w:sz w:val="24"/>
          <w:szCs w:val="24"/>
        </w:rPr>
        <w:t>. At μ</w:t>
      </w:r>
      <w:r w:rsidRPr="008254D4">
        <w:rPr>
          <w:rFonts w:ascii="Times New Roman" w:hAnsi="Times New Roman" w:cs="Times New Roman"/>
          <w:sz w:val="24"/>
          <w:szCs w:val="24"/>
          <w:vertAlign w:val="subscript"/>
        </w:rPr>
        <w:t>H</w:t>
      </w:r>
      <w:r w:rsidRPr="008254D4">
        <w:rPr>
          <w:rFonts w:ascii="Times New Roman" w:hAnsi="Times New Roman" w:cs="Times New Roman"/>
          <w:sz w:val="24"/>
          <w:szCs w:val="24"/>
        </w:rPr>
        <w:t>=−0.2 eV, hydrogen and nitrogen are interspersed rather than forming clusters. This pattern suggests that each gas prefers to avoid neighboring atoms of the same type, resulting in a more mixed distribution. As μ</w:t>
      </w:r>
      <w:r w:rsidRPr="008254D4">
        <w:rPr>
          <w:rFonts w:ascii="Times New Roman" w:hAnsi="Times New Roman" w:cs="Times New Roman"/>
          <w:sz w:val="24"/>
          <w:szCs w:val="24"/>
          <w:vertAlign w:val="subscript"/>
        </w:rPr>
        <w:t>H</w:t>
      </w:r>
      <w:r w:rsidR="000C33C0">
        <w:rPr>
          <w:rFonts w:ascii="Times New Roman" w:hAnsi="Times New Roman" w:cs="Times New Roman" w:hint="eastAsia"/>
          <w:sz w:val="24"/>
          <w:szCs w:val="24"/>
          <w:vertAlign w:val="subscript"/>
        </w:rPr>
        <w:t xml:space="preserve"> </w:t>
      </w:r>
      <w:r w:rsidRPr="008254D4">
        <w:rPr>
          <w:rFonts w:ascii="Times New Roman" w:hAnsi="Times New Roman" w:cs="Times New Roman"/>
          <w:sz w:val="24"/>
          <w:szCs w:val="24"/>
        </w:rPr>
        <w:t xml:space="preserve">increases to -0.1 eV and 0 eV both gases </w:t>
      </w:r>
      <w:r w:rsidR="000F5B03" w:rsidRPr="008254D4">
        <w:rPr>
          <w:rFonts w:ascii="Times New Roman" w:hAnsi="Times New Roman" w:cs="Times New Roman"/>
          <w:sz w:val="24"/>
          <w:szCs w:val="24"/>
        </w:rPr>
        <w:t>maintain</w:t>
      </w:r>
      <w:r w:rsidRPr="008254D4">
        <w:rPr>
          <w:rFonts w:ascii="Times New Roman" w:hAnsi="Times New Roman" w:cs="Times New Roman"/>
          <w:sz w:val="24"/>
          <w:szCs w:val="24"/>
        </w:rPr>
        <w:t xml:space="preserve"> an even distribution across the lattice.</w:t>
      </w:r>
    </w:p>
    <w:p w14:paraId="0D59B40A" w14:textId="77777777" w:rsidR="008254D4" w:rsidRPr="008254D4" w:rsidRDefault="008254D4" w:rsidP="001D16EC">
      <w:pPr>
        <w:spacing w:line="360" w:lineRule="auto"/>
        <w:ind w:firstLine="360"/>
        <w:jc w:val="both"/>
        <w:rPr>
          <w:rFonts w:ascii="Times New Roman" w:hAnsi="Times New Roman" w:cs="Times New Roman"/>
          <w:sz w:val="24"/>
          <w:szCs w:val="24"/>
        </w:rPr>
      </w:pPr>
      <w:r w:rsidRPr="008254D4">
        <w:rPr>
          <w:rFonts w:ascii="Times New Roman" w:hAnsi="Times New Roman" w:cs="Times New Roman"/>
          <w:sz w:val="24"/>
          <w:szCs w:val="24"/>
        </w:rPr>
        <w:t>Overall, the "like dissolves unlike" interaction promotes a dispersed, mixed adsorption pattern for hydrogen and nitrogen. Both gases achieve high coverage but avoid clustering with their own kind, leading to a more homogeneous distribution across the lattice.</w:t>
      </w:r>
    </w:p>
    <w:p w14:paraId="1BE83CC4" w14:textId="67BF981C" w:rsidR="00E964D6" w:rsidRPr="00834461" w:rsidRDefault="00503924" w:rsidP="001D16EC">
      <w:pPr>
        <w:pStyle w:val="a3"/>
        <w:numPr>
          <w:ilvl w:val="1"/>
          <w:numId w:val="15"/>
        </w:numPr>
        <w:spacing w:line="360" w:lineRule="auto"/>
        <w:ind w:leftChars="0"/>
        <w:rPr>
          <w:rFonts w:ascii="Times New Roman" w:hAnsi="Times New Roman" w:cs="Times New Roman"/>
          <w:b/>
          <w:bCs/>
          <w:sz w:val="24"/>
          <w:szCs w:val="24"/>
        </w:rPr>
      </w:pPr>
      <w:r>
        <w:rPr>
          <w:rFonts w:ascii="Times New Roman" w:hAnsi="Times New Roman" w:cs="Times New Roman" w:hint="eastAsia"/>
          <w:b/>
          <w:bCs/>
          <w:sz w:val="24"/>
          <w:szCs w:val="24"/>
        </w:rPr>
        <w:t xml:space="preserve"> </w:t>
      </w:r>
      <w:r w:rsidR="00E163F8">
        <w:rPr>
          <w:rFonts w:ascii="Times New Roman" w:hAnsi="Times New Roman" w:cs="Times New Roman" w:hint="eastAsia"/>
          <w:b/>
          <w:bCs/>
          <w:sz w:val="24"/>
          <w:szCs w:val="24"/>
        </w:rPr>
        <w:t>C</w:t>
      </w:r>
      <w:r w:rsidR="00E163F8" w:rsidRPr="00E163F8">
        <w:rPr>
          <w:rFonts w:ascii="Times New Roman" w:hAnsi="Times New Roman" w:cs="Times New Roman"/>
          <w:b/>
          <w:bCs/>
          <w:sz w:val="24"/>
          <w:szCs w:val="24"/>
        </w:rPr>
        <w:t>omparison</w:t>
      </w:r>
      <w:r w:rsidR="00D24961">
        <w:rPr>
          <w:rFonts w:ascii="Times New Roman" w:hAnsi="Times New Roman" w:cs="Times New Roman" w:hint="eastAsia"/>
          <w:b/>
          <w:bCs/>
          <w:sz w:val="24"/>
          <w:szCs w:val="24"/>
        </w:rPr>
        <w:t xml:space="preserve"> Among</w:t>
      </w:r>
      <w:r w:rsidR="00E163F8" w:rsidRPr="00E163F8">
        <w:rPr>
          <w:rFonts w:ascii="Times New Roman" w:hAnsi="Times New Roman" w:cs="Times New Roman"/>
          <w:b/>
          <w:bCs/>
          <w:sz w:val="24"/>
          <w:szCs w:val="24"/>
        </w:rPr>
        <w:t xml:space="preserve"> Parameter Sets</w:t>
      </w:r>
    </w:p>
    <w:p w14:paraId="3F35DAAA" w14:textId="204A928A" w:rsidR="00697CA8" w:rsidRDefault="00B16BE7" w:rsidP="00AA0654">
      <w:pPr>
        <w:pStyle w:val="a4"/>
        <w:spacing w:line="360" w:lineRule="auto"/>
        <w:ind w:firstLine="360"/>
        <w:jc w:val="center"/>
        <w:rPr>
          <w:rFonts w:eastAsiaTheme="minorEastAsia"/>
        </w:rPr>
      </w:pPr>
      <w:r>
        <w:rPr>
          <w:noProof/>
        </w:rPr>
        <w:drawing>
          <wp:inline distT="0" distB="0" distL="0" distR="0" wp14:anchorId="4DAA1605" wp14:editId="484515BB">
            <wp:extent cx="5158596" cy="3979723"/>
            <wp:effectExtent l="0" t="0" r="4445" b="1905"/>
            <wp:docPr id="143377384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7511" cy="3986601"/>
                    </a:xfrm>
                    <a:prstGeom prst="rect">
                      <a:avLst/>
                    </a:prstGeom>
                    <a:noFill/>
                    <a:ln>
                      <a:noFill/>
                    </a:ln>
                  </pic:spPr>
                </pic:pic>
              </a:graphicData>
            </a:graphic>
          </wp:inline>
        </w:drawing>
      </w:r>
    </w:p>
    <w:p w14:paraId="25259319" w14:textId="283C5AE8" w:rsidR="00BA5D65" w:rsidRPr="00BA5D65" w:rsidRDefault="00BA5D65" w:rsidP="00BA5D65">
      <w:pPr>
        <w:pStyle w:val="a4"/>
        <w:spacing w:line="360" w:lineRule="auto"/>
        <w:rPr>
          <w:rFonts w:eastAsiaTheme="minorEastAsia"/>
          <w:kern w:val="2"/>
          <w14:ligatures w14:val="standardContextual"/>
        </w:rPr>
      </w:pPr>
      <w:r>
        <w:rPr>
          <w:rFonts w:eastAsiaTheme="minorEastAsia" w:hint="eastAsia"/>
          <w:b/>
          <w:bCs/>
          <w:kern w:val="2"/>
          <w14:ligatures w14:val="standardContextual"/>
        </w:rPr>
        <w:t>Figure</w:t>
      </w:r>
      <w:r w:rsidRPr="00CF6A51">
        <w:rPr>
          <w:rFonts w:eastAsiaTheme="minorEastAsia" w:hint="eastAsia"/>
          <w:b/>
          <w:bCs/>
          <w:kern w:val="2"/>
          <w14:ligatures w14:val="standardContextual"/>
        </w:rPr>
        <w:t xml:space="preserve"> </w:t>
      </w:r>
      <w:r>
        <w:rPr>
          <w:rFonts w:eastAsiaTheme="minorEastAsia" w:hint="eastAsia"/>
          <w:b/>
          <w:bCs/>
          <w:kern w:val="2"/>
          <w14:ligatures w14:val="standardContextual"/>
        </w:rPr>
        <w:t>6</w:t>
      </w:r>
      <w:r>
        <w:rPr>
          <w:rFonts w:eastAsiaTheme="minorEastAsia" w:hint="eastAsia"/>
          <w:kern w:val="2"/>
          <w14:ligatures w14:val="standardContextual"/>
        </w:rPr>
        <w:t xml:space="preserve">. Occupation ratios </w:t>
      </w:r>
      <w:r w:rsidR="00BF5BF9">
        <w:rPr>
          <w:rFonts w:eastAsiaTheme="minorEastAsia"/>
          <w:kern w:val="2"/>
          <w14:ligatures w14:val="standardContextual"/>
        </w:rPr>
        <w:t>for (</w:t>
      </w:r>
      <w:r>
        <w:rPr>
          <w:rFonts w:eastAsiaTheme="minorEastAsia" w:hint="eastAsia"/>
          <w:kern w:val="2"/>
          <w14:ligatures w14:val="standardContextual"/>
        </w:rPr>
        <w:t>A) ideal mixture (B) repulsive interaction (C) attractive interaction (D) immiscible case, and (E) like dissolves unlike case.</w:t>
      </w:r>
    </w:p>
    <w:p w14:paraId="485B1AAA" w14:textId="74CBE1F8" w:rsidR="004903FF" w:rsidRPr="004903FF" w:rsidRDefault="006E2C0A" w:rsidP="004903FF">
      <w:pPr>
        <w:pStyle w:val="a4"/>
        <w:spacing w:line="360" w:lineRule="auto"/>
        <w:ind w:firstLine="360"/>
        <w:jc w:val="both"/>
        <w:rPr>
          <w:rFonts w:eastAsiaTheme="minorEastAsia"/>
        </w:rPr>
      </w:pPr>
      <w:r w:rsidRPr="002868C5">
        <w:rPr>
          <w:rFonts w:eastAsiaTheme="minorEastAsia" w:hint="eastAsia"/>
          <w:b/>
          <w:bCs/>
        </w:rPr>
        <w:lastRenderedPageBreak/>
        <w:t>Figure 6</w:t>
      </w:r>
      <w:r>
        <w:rPr>
          <w:rFonts w:eastAsiaTheme="minorEastAsia" w:hint="eastAsia"/>
        </w:rPr>
        <w:t xml:space="preserve"> shows</w:t>
      </w:r>
      <w:r w:rsidR="003C65AC" w:rsidRPr="003C65AC">
        <w:t xml:space="preserve"> </w:t>
      </w:r>
      <w:r w:rsidR="001860EC">
        <w:rPr>
          <w:rFonts w:eastAsiaTheme="minorEastAsia" w:hint="eastAsia"/>
        </w:rPr>
        <w:t xml:space="preserve">the occupation ratios for each scenario and </w:t>
      </w:r>
      <w:r w:rsidR="003C65AC" w:rsidRPr="003C65AC">
        <w:t xml:space="preserve">how interaction energies </w:t>
      </w:r>
      <w:r w:rsidR="008036E8">
        <w:rPr>
          <w:rFonts w:eastAsiaTheme="minorEastAsia" w:hint="eastAsia"/>
        </w:rPr>
        <w:t>change</w:t>
      </w:r>
      <w:r w:rsidR="003C65AC" w:rsidRPr="003C65AC">
        <w:t xml:space="preserve"> the adsorption behavior of hydrogen and nitrogen on the surface, with each parameter set showing distinct coverage trends. In the Ideal Mixture case</w:t>
      </w:r>
      <w:r w:rsidR="00F24EDD">
        <w:rPr>
          <w:rFonts w:eastAsiaTheme="minorEastAsia" w:hint="eastAsia"/>
        </w:rPr>
        <w:t xml:space="preserve"> (</w:t>
      </w:r>
      <w:r w:rsidR="00F24EDD" w:rsidRPr="00F24EDD">
        <w:rPr>
          <w:rFonts w:eastAsiaTheme="minorEastAsia" w:hint="eastAsia"/>
          <w:b/>
          <w:bCs/>
        </w:rPr>
        <w:t>Figure 6A</w:t>
      </w:r>
      <w:r w:rsidR="00F24EDD">
        <w:rPr>
          <w:rFonts w:eastAsiaTheme="minorEastAsia" w:hint="eastAsia"/>
        </w:rPr>
        <w:t>)</w:t>
      </w:r>
      <w:r w:rsidR="003C65AC" w:rsidRPr="003C65AC">
        <w:t>, the graph shows that as μ</w:t>
      </w:r>
      <w:r w:rsidR="003C65AC" w:rsidRPr="003C65AC">
        <w:rPr>
          <w:vertAlign w:val="subscript"/>
        </w:rPr>
        <w:t>H</w:t>
      </w:r>
      <w:r w:rsidR="003C65AC" w:rsidRPr="003C65AC">
        <w:t xml:space="preserve"> increases from -0.2 to 0, hydrogen coverage rises sharply, eventually reaching nearly full coverage (~1.0)</w:t>
      </w:r>
      <w:r w:rsidR="00E50C10">
        <w:rPr>
          <w:rFonts w:eastAsiaTheme="minorEastAsia" w:hint="eastAsia"/>
        </w:rPr>
        <w:t xml:space="preserve">. However, the </w:t>
      </w:r>
      <w:r w:rsidR="003C65AC" w:rsidRPr="003C65AC">
        <w:t>nitrogen coverage declines to near zero. This pattern indicates independent adsorption behavior, with hydrogen fully occupying the surface at high μ</w:t>
      </w:r>
      <w:r w:rsidR="003C65AC" w:rsidRPr="003C65AC">
        <w:rPr>
          <w:vertAlign w:val="subscript"/>
        </w:rPr>
        <w:t>H</w:t>
      </w:r>
      <w:r w:rsidR="003C65AC" w:rsidRPr="003C65AC">
        <w:t xml:space="preserve"> values due to the absence of interaction energies affecting </w:t>
      </w:r>
      <w:r w:rsidR="008036E8">
        <w:rPr>
          <w:rFonts w:eastAsiaTheme="minorEastAsia" w:hint="eastAsia"/>
        </w:rPr>
        <w:t>response of each gas</w:t>
      </w:r>
      <w:r w:rsidR="003C65AC" w:rsidRPr="003C65AC">
        <w:t>.</w:t>
      </w:r>
      <w:r w:rsidR="00F24EDD">
        <w:rPr>
          <w:rFonts w:eastAsiaTheme="minorEastAsia" w:hint="eastAsia"/>
        </w:rPr>
        <w:t xml:space="preserve"> </w:t>
      </w:r>
      <w:r w:rsidR="003C65AC" w:rsidRPr="003C65AC">
        <w:t>In the Repulsive Interactions scenario</w:t>
      </w:r>
      <w:r w:rsidR="008F6C04">
        <w:rPr>
          <w:rFonts w:eastAsiaTheme="minorEastAsia" w:hint="eastAsia"/>
        </w:rPr>
        <w:t xml:space="preserve"> (</w:t>
      </w:r>
      <w:r w:rsidR="008F6C04" w:rsidRPr="008F6C04">
        <w:rPr>
          <w:rFonts w:eastAsiaTheme="minorEastAsia"/>
          <w:b/>
          <w:bCs/>
        </w:rPr>
        <w:t>Fig</w:t>
      </w:r>
      <w:r w:rsidR="008F6C04" w:rsidRPr="008F6C04">
        <w:rPr>
          <w:rFonts w:eastAsiaTheme="minorEastAsia" w:hint="eastAsia"/>
          <w:b/>
          <w:bCs/>
        </w:rPr>
        <w:t>ure 6B</w:t>
      </w:r>
      <w:r w:rsidR="008F6C04">
        <w:rPr>
          <w:rFonts w:eastAsiaTheme="minorEastAsia" w:hint="eastAsia"/>
        </w:rPr>
        <w:t>)</w:t>
      </w:r>
      <w:r w:rsidR="003C65AC" w:rsidRPr="003C65AC">
        <w:t>, hydrogen coverage increases more gradually, peaking at around 0.4</w:t>
      </w:r>
      <w:r w:rsidR="00FF713A">
        <w:rPr>
          <w:rFonts w:eastAsiaTheme="minorEastAsia" w:hint="eastAsia"/>
        </w:rPr>
        <w:t>. However, the</w:t>
      </w:r>
      <w:r w:rsidR="003C65AC" w:rsidRPr="003C65AC">
        <w:t xml:space="preserve"> nitrogen coverage declines steadily, maintaining a presence on the surface even as μ</w:t>
      </w:r>
      <w:r w:rsidR="003C65AC" w:rsidRPr="003C65AC">
        <w:rPr>
          <w:vertAlign w:val="subscript"/>
        </w:rPr>
        <w:t>H</w:t>
      </w:r>
      <w:r w:rsidR="003C65AC" w:rsidRPr="003C65AC">
        <w:t xml:space="preserve"> rises. This gradual change reflects the influence of repulsive forces, which limit hydrogen’s ability to fully dominate the surface, resulting in a lower total coverage compared to the Ideal Mixture case.</w:t>
      </w:r>
      <w:r w:rsidR="00C61CD1">
        <w:rPr>
          <w:rFonts w:eastAsiaTheme="minorEastAsia" w:hint="eastAsia"/>
        </w:rPr>
        <w:t xml:space="preserve"> </w:t>
      </w:r>
      <w:r w:rsidR="003C65AC" w:rsidRPr="003C65AC">
        <w:t>For Attractive Interactions</w:t>
      </w:r>
      <w:r w:rsidR="00C61CD1">
        <w:rPr>
          <w:rFonts w:eastAsiaTheme="minorEastAsia" w:hint="eastAsia"/>
          <w:b/>
          <w:bCs/>
        </w:rPr>
        <w:t xml:space="preserve"> (Figure 6C)</w:t>
      </w:r>
      <w:r w:rsidR="003C65AC" w:rsidRPr="003C65AC">
        <w:t>, the graph shows that hydrogen and nitrogen coverage levels converge around μ</w:t>
      </w:r>
      <w:r w:rsidR="003C65AC" w:rsidRPr="003C65AC">
        <w:rPr>
          <w:vertAlign w:val="subscript"/>
        </w:rPr>
        <w:t>H</w:t>
      </w:r>
      <w:r w:rsidR="003C65AC" w:rsidRPr="003C65AC">
        <w:t xml:space="preserve"> = -0.1, with each species stabilizing at roughly 0.5 coverage as μ</w:t>
      </w:r>
      <w:r w:rsidR="003C65AC" w:rsidRPr="003C65AC">
        <w:rPr>
          <w:vertAlign w:val="subscript"/>
        </w:rPr>
        <w:t>H</w:t>
      </w:r>
      <w:r w:rsidR="003C65AC" w:rsidRPr="003C65AC">
        <w:t xml:space="preserve"> increases. This behavior results from attractive forces between hydrogen and nitrogen, which stabilize their co-adsorption and prevent either gas from fully displacing the other, leading to a balanced total coverage close to 1.0.</w:t>
      </w:r>
      <w:r w:rsidR="0030106E">
        <w:rPr>
          <w:rFonts w:eastAsiaTheme="minorEastAsia" w:hint="eastAsia"/>
        </w:rPr>
        <w:t xml:space="preserve"> </w:t>
      </w:r>
      <w:r w:rsidR="003C65AC" w:rsidRPr="003C65AC">
        <w:t>The Immiscible case exhibits a clear phase separation</w:t>
      </w:r>
      <w:r w:rsidR="0030106E">
        <w:rPr>
          <w:rFonts w:eastAsiaTheme="minorEastAsia" w:hint="eastAsia"/>
        </w:rPr>
        <w:t xml:space="preserve"> (</w:t>
      </w:r>
      <w:r w:rsidR="0030106E" w:rsidRPr="0030106E">
        <w:rPr>
          <w:rFonts w:eastAsiaTheme="minorEastAsia" w:hint="eastAsia"/>
          <w:b/>
          <w:bCs/>
        </w:rPr>
        <w:t>Figure 6D</w:t>
      </w:r>
      <w:r w:rsidR="0030106E">
        <w:rPr>
          <w:rFonts w:eastAsiaTheme="minorEastAsia" w:hint="eastAsia"/>
        </w:rPr>
        <w:t>)</w:t>
      </w:r>
      <w:r w:rsidR="003C65AC" w:rsidRPr="003C65AC">
        <w:t>, as seen in the sharp transition in coverage. Hydrogen coverage rises rapidly to 1.0 as μ</w:t>
      </w:r>
      <w:r w:rsidR="003C65AC" w:rsidRPr="003C65AC">
        <w:rPr>
          <w:vertAlign w:val="subscript"/>
        </w:rPr>
        <w:t>H</w:t>
      </w:r>
      <w:r w:rsidR="003C65AC" w:rsidRPr="003C65AC">
        <w:t xml:space="preserve"> increases from -0.15, while nitrogen coverage drops to zero, indicating that one gas completely displaces the other on the surface at certain μ</w:t>
      </w:r>
      <w:r w:rsidR="003C65AC" w:rsidRPr="003C65AC">
        <w:rPr>
          <w:vertAlign w:val="subscript"/>
        </w:rPr>
        <w:t>H</w:t>
      </w:r>
      <w:r w:rsidR="003C65AC" w:rsidRPr="003C65AC">
        <w:t xml:space="preserve"> values. This behavior aligns with phase-separation principles, with strong immiscibility leading to full coverage by a single species depending on μ</w:t>
      </w:r>
      <w:r w:rsidR="003C65AC" w:rsidRPr="003C65AC">
        <w:rPr>
          <w:vertAlign w:val="subscript"/>
        </w:rPr>
        <w:t>H</w:t>
      </w:r>
      <w:r w:rsidR="003C65AC" w:rsidRPr="003C65AC">
        <w:t>.</w:t>
      </w:r>
      <w:r w:rsidR="002A5D23">
        <w:rPr>
          <w:rFonts w:eastAsiaTheme="minorEastAsia" w:hint="eastAsia"/>
        </w:rPr>
        <w:t xml:space="preserve"> </w:t>
      </w:r>
      <w:r w:rsidR="003C65AC" w:rsidRPr="003C65AC">
        <w:t>In the Like Dissolves Unlike scenario</w:t>
      </w:r>
      <w:r w:rsidR="007E66F4">
        <w:rPr>
          <w:rFonts w:eastAsiaTheme="minorEastAsia" w:hint="eastAsia"/>
        </w:rPr>
        <w:t xml:space="preserve"> (</w:t>
      </w:r>
      <w:r w:rsidR="007E66F4" w:rsidRPr="007E66F4">
        <w:rPr>
          <w:rFonts w:eastAsiaTheme="minorEastAsia" w:hint="eastAsia"/>
          <w:b/>
          <w:bCs/>
        </w:rPr>
        <w:t>Figure 6E</w:t>
      </w:r>
      <w:r w:rsidR="007E66F4">
        <w:rPr>
          <w:rFonts w:eastAsiaTheme="minorEastAsia" w:hint="eastAsia"/>
        </w:rPr>
        <w:t>)</w:t>
      </w:r>
      <w:r w:rsidR="003C65AC" w:rsidRPr="003C65AC">
        <w:t>, the graph shows that hydrogen and nitrogen maintain nearly equal coverage (~0.5 each) across the entire μ</w:t>
      </w:r>
      <w:r w:rsidR="003C65AC" w:rsidRPr="003C65AC">
        <w:rPr>
          <w:vertAlign w:val="subscript"/>
        </w:rPr>
        <w:t>H</w:t>
      </w:r>
      <w:r w:rsidR="003C65AC" w:rsidRPr="003C65AC">
        <w:t xml:space="preserve"> range. This stable coexistence reflects similar affinities for the surface, creating a balanced adsorption environment that promotes consistent co-coverage. The total coverage remains around 1.0, indicating that both gases share the surface without significant displacement.</w:t>
      </w:r>
    </w:p>
    <w:p w14:paraId="52CF1ECF" w14:textId="36DD859A" w:rsidR="004903FF" w:rsidRPr="00834461" w:rsidRDefault="004903FF" w:rsidP="004903FF">
      <w:pPr>
        <w:pStyle w:val="a3"/>
        <w:numPr>
          <w:ilvl w:val="1"/>
          <w:numId w:val="15"/>
        </w:numPr>
        <w:spacing w:line="360" w:lineRule="auto"/>
        <w:ind w:leftChars="0"/>
        <w:rPr>
          <w:rFonts w:ascii="Times New Roman" w:hAnsi="Times New Roman" w:cs="Times New Roman"/>
          <w:b/>
          <w:bCs/>
          <w:sz w:val="24"/>
          <w:szCs w:val="24"/>
        </w:rPr>
      </w:pPr>
      <w:r>
        <w:rPr>
          <w:rFonts w:ascii="Times New Roman" w:hAnsi="Times New Roman" w:cs="Times New Roman" w:hint="eastAsia"/>
          <w:b/>
          <w:bCs/>
          <w:sz w:val="24"/>
          <w:szCs w:val="24"/>
        </w:rPr>
        <w:t xml:space="preserve"> </w:t>
      </w:r>
      <w:r w:rsidRPr="00282DA6">
        <w:rPr>
          <w:rFonts w:ascii="Times New Roman" w:hAnsi="Times New Roman" w:cs="Times New Roman"/>
          <w:b/>
          <w:bCs/>
          <w:sz w:val="24"/>
          <w:szCs w:val="24"/>
        </w:rPr>
        <w:t>Implications for Ammonia Synthesis</w:t>
      </w:r>
    </w:p>
    <w:p w14:paraId="0EBD023C" w14:textId="0E772354" w:rsidR="00BD31D3" w:rsidRPr="00185E22" w:rsidRDefault="00BD31D3" w:rsidP="008A6D8D">
      <w:pPr>
        <w:pStyle w:val="a4"/>
        <w:spacing w:line="360" w:lineRule="auto"/>
        <w:ind w:firstLine="360"/>
        <w:jc w:val="both"/>
        <w:rPr>
          <w:rFonts w:eastAsiaTheme="minorEastAsia"/>
        </w:rPr>
      </w:pPr>
      <w:r w:rsidRPr="00185E22">
        <w:t xml:space="preserve">The results offer valuable insights for optimizing ammonia synthesis, particularly for the Haber-Bosch process, where efficient adsorption of nitrogen and hydrogen on catalyst surfaces is crucial. The </w:t>
      </w:r>
      <w:r w:rsidRPr="00185E22">
        <w:rPr>
          <w:rStyle w:val="a7"/>
          <w:b w:val="0"/>
          <w:bCs w:val="0"/>
        </w:rPr>
        <w:t>Ideal Mixture</w:t>
      </w:r>
      <w:r w:rsidRPr="00185E22">
        <w:t xml:space="preserve"> scenario shows that excessive hydrogen adsorption at high μ</w:t>
      </w:r>
      <w:r w:rsidRPr="00185E22">
        <w:rPr>
          <w:vertAlign w:val="subscript"/>
        </w:rPr>
        <w:t>H</w:t>
      </w:r>
      <w:r w:rsidRPr="00185E22">
        <w:t xml:space="preserve"> can </w:t>
      </w:r>
      <w:r w:rsidR="00840EC7">
        <w:rPr>
          <w:rFonts w:eastAsiaTheme="minorEastAsia" w:hint="eastAsia"/>
        </w:rPr>
        <w:lastRenderedPageBreak/>
        <w:t>prevent</w:t>
      </w:r>
      <w:r w:rsidRPr="00185E22">
        <w:t xml:space="preserve"> </w:t>
      </w:r>
      <w:r w:rsidR="00840EC7">
        <w:rPr>
          <w:rFonts w:eastAsiaTheme="minorEastAsia" w:hint="eastAsia"/>
        </w:rPr>
        <w:t>the adsorption of nitrogen</w:t>
      </w:r>
      <w:r w:rsidRPr="00185E22">
        <w:t xml:space="preserve"> to the surface, potentially slowing the reaction. In contrast, </w:t>
      </w:r>
      <w:r w:rsidRPr="00185E22">
        <w:rPr>
          <w:rStyle w:val="a7"/>
          <w:b w:val="0"/>
          <w:bCs w:val="0"/>
        </w:rPr>
        <w:t>Repulsive Interactions</w:t>
      </w:r>
      <w:r w:rsidR="003148FB">
        <w:rPr>
          <w:rFonts w:eastAsiaTheme="minorEastAsia" w:hint="eastAsia"/>
        </w:rPr>
        <w:t xml:space="preserve"> can</w:t>
      </w:r>
      <w:r w:rsidRPr="00185E22">
        <w:t xml:space="preserve"> limit hydrogen coverage, preventing hydrogen poisoning and maintaining available sites for nitrogen. The </w:t>
      </w:r>
      <w:r w:rsidRPr="00185E22">
        <w:rPr>
          <w:rStyle w:val="a7"/>
          <w:b w:val="0"/>
          <w:bCs w:val="0"/>
        </w:rPr>
        <w:t>Attractive Interactions</w:t>
      </w:r>
      <w:r w:rsidRPr="00185E22">
        <w:t xml:space="preserve"> case, where hydrogen and nitrogen co-adsorb at balanced levels, represents an ideal condition for ammonia synthesis, ensuring both gases are available on the catalyst surface in sufficient quantities for efficient reaction rates. The </w:t>
      </w:r>
      <w:r w:rsidRPr="00185E22">
        <w:rPr>
          <w:rStyle w:val="a7"/>
          <w:b w:val="0"/>
          <w:bCs w:val="0"/>
        </w:rPr>
        <w:t>Immiscible</w:t>
      </w:r>
      <w:r w:rsidRPr="00185E22">
        <w:t xml:space="preserve"> scenario, with phase separation and complete displacement of nitrogen by hydrogen, would be detrimental, leading to a shortage of nitrogen on the surface. Finally, </w:t>
      </w:r>
      <w:r w:rsidRPr="00F67E1C">
        <w:t>the</w:t>
      </w:r>
      <w:r w:rsidRPr="00185E22">
        <w:rPr>
          <w:b/>
          <w:bCs/>
        </w:rPr>
        <w:t xml:space="preserve"> </w:t>
      </w:r>
      <w:r w:rsidRPr="00185E22">
        <w:rPr>
          <w:rStyle w:val="a7"/>
          <w:b w:val="0"/>
          <w:bCs w:val="0"/>
        </w:rPr>
        <w:t>Like Dissolves Unlike</w:t>
      </w:r>
      <w:r w:rsidRPr="00185E22">
        <w:t xml:space="preserve"> case, where both gases maintain stable</w:t>
      </w:r>
      <w:r w:rsidR="001F57B9">
        <w:rPr>
          <w:rFonts w:eastAsiaTheme="minorEastAsia" w:hint="eastAsia"/>
        </w:rPr>
        <w:t xml:space="preserve"> and similar</w:t>
      </w:r>
      <w:r w:rsidRPr="00185E22">
        <w:t xml:space="preserve"> coverage, provides another optimal condition by supporting steady reaction rates and consistent catalyst utilization.</w:t>
      </w:r>
    </w:p>
    <w:p w14:paraId="2C5D0136" w14:textId="2279C399" w:rsidR="00282DA6" w:rsidRPr="003C0823" w:rsidRDefault="00C8275B" w:rsidP="003C0823">
      <w:pPr>
        <w:pStyle w:val="a4"/>
        <w:spacing w:line="360" w:lineRule="auto"/>
        <w:ind w:firstLine="360"/>
        <w:jc w:val="both"/>
        <w:rPr>
          <w:rFonts w:eastAsiaTheme="minorEastAsia"/>
        </w:rPr>
      </w:pPr>
      <w:r w:rsidRPr="00C8275B">
        <w:t>To enhance ammonia synthesis, several optimization strategies can be applied. Controlled hydrogen coverage can prevent hydrogen from dominating adsorption sites. This could be achieved by modifying the catalyst surface.</w:t>
      </w:r>
      <w:r w:rsidR="00C65AB9">
        <w:rPr>
          <w:rFonts w:eastAsiaTheme="minorEastAsia" w:hint="eastAsia"/>
        </w:rPr>
        <w:t xml:space="preserve"> Specifically, p</w:t>
      </w:r>
      <w:r w:rsidRPr="00C8275B">
        <w:t>romoters for balanced co-adsorption can improve reaction efficiency. These promoters, inspired by the Attractive Interactions scenario, enhance the affinity between nitrogen and hydrogen on the surface.</w:t>
      </w:r>
      <w:r w:rsidR="00C65AB9">
        <w:rPr>
          <w:rFonts w:eastAsiaTheme="minorEastAsia" w:hint="eastAsia"/>
        </w:rPr>
        <w:t xml:space="preserve"> </w:t>
      </w:r>
      <w:r w:rsidR="00B646AF">
        <w:rPr>
          <w:rFonts w:eastAsiaTheme="minorEastAsia" w:hint="eastAsia"/>
        </w:rPr>
        <w:t>For example</w:t>
      </w:r>
      <w:r w:rsidR="00E90A68">
        <w:rPr>
          <w:rFonts w:eastAsiaTheme="minorEastAsia" w:hint="eastAsia"/>
        </w:rPr>
        <w:t xml:space="preserve">, </w:t>
      </w:r>
      <w:r w:rsidR="00C65AB9" w:rsidRPr="00C65AB9">
        <w:rPr>
          <w:rFonts w:eastAsiaTheme="minorEastAsia"/>
        </w:rPr>
        <w:t xml:space="preserve">Ye et al. advanced their research with the Ni–CeN catalyst, achieving an activity of 6500 μmol g⁻¹ h⁻¹ at 400°C and 0.9 MPa, with a WHSV of 36,000 mL g⁻¹ h⁻¹. In this system, nitrogen vacancies in CeN activate N₂, while Ni facilitates H₂ activation. Unlike conventional catalysts with a promoter, this cocatalyst system allows each component to perform a distinct role, with strong hydrogen adsorption energy </w:t>
      </w:r>
      <w:r w:rsidR="005C5207">
        <w:rPr>
          <w:rFonts w:eastAsiaTheme="minorEastAsia" w:hint="eastAsia"/>
        </w:rPr>
        <w:t xml:space="preserve">of Ni </w:t>
      </w:r>
      <w:r w:rsidR="00C65AB9" w:rsidRPr="00C65AB9">
        <w:rPr>
          <w:rFonts w:eastAsiaTheme="minorEastAsia"/>
        </w:rPr>
        <w:t>(1.30 eV compared to CeN’s 0.62 eV) enabling efficient H₂ dissociation</w:t>
      </w:r>
      <w:r w:rsidR="00C65AB9">
        <w:rPr>
          <w:rFonts w:eastAsiaTheme="minorEastAsia"/>
        </w:rPr>
        <w:fldChar w:fldCharType="begin"/>
      </w:r>
      <w:r w:rsidR="00C65AB9">
        <w:rPr>
          <w:rFonts w:eastAsiaTheme="minorEastAsia"/>
        </w:rPr>
        <w:instrText xml:space="preserve"> ADDIN EN.CITE &lt;EndNote&gt;&lt;Cite&gt;&lt;Author&gt;Ye&lt;/Author&gt;&lt;Year&gt;2020&lt;/Year&gt;&lt;RecNum&gt;127&lt;/RecNum&gt;&lt;DisplayText&gt;&lt;style face="superscript"&gt;5&lt;/style&gt;&lt;/DisplayText&gt;&lt;record&gt;&lt;rec-number&gt;127&lt;/rec-number&gt;&lt;foreign-keys&gt;&lt;key app="EN" db-id="sfv0rttwkr0223ewzacxdaznsvpd9sztp2xv" timestamp="1731174570"&gt;127&lt;/key&gt;&lt;/foreign-keys&gt;&lt;ref-type name="Journal Article"&gt;17&lt;/ref-type&gt;&lt;contributors&gt;&lt;authors&gt;&lt;author&gt;Ye, Tian-Nan&lt;/author&gt;&lt;author&gt;Park, Sang-Won&lt;/author&gt;&lt;author&gt;Lu, Yangfan&lt;/author&gt;&lt;author&gt;Li, Jiang&lt;/author&gt;&lt;author&gt;Sasase, Masato&lt;/author&gt;&lt;author&gt;Kitano, Masaaki&lt;/author&gt;&lt;author&gt;Hosono, Hideo&lt;/author&gt;&lt;/authors&gt;&lt;/contributors&gt;&lt;titles&gt;&lt;title&gt;Contribution of nitrogen vacancies to ammonia synthesis over metal nitride catalysts&lt;/title&gt;&lt;secondary-title&gt;Journal of the American Chemical Society&lt;/secondary-title&gt;&lt;/titles&gt;&lt;periodical&gt;&lt;full-title&gt;Journal of the American Chemical Society&lt;/full-title&gt;&lt;/periodical&gt;&lt;pages&gt;14374-14383&lt;/pages&gt;&lt;volume&gt;142&lt;/volume&gt;&lt;number&gt;33&lt;/number&gt;&lt;dates&gt;&lt;year&gt;2020&lt;/year&gt;&lt;/dates&gt;&lt;isbn&gt;0002-7863&lt;/isbn&gt;&lt;urls&gt;&lt;/urls&gt;&lt;/record&gt;&lt;/Cite&gt;&lt;/EndNote&gt;</w:instrText>
      </w:r>
      <w:r w:rsidR="00C65AB9">
        <w:rPr>
          <w:rFonts w:eastAsiaTheme="minorEastAsia"/>
        </w:rPr>
        <w:fldChar w:fldCharType="separate"/>
      </w:r>
      <w:r w:rsidR="00C65AB9" w:rsidRPr="00C65AB9">
        <w:rPr>
          <w:rFonts w:eastAsiaTheme="minorEastAsia"/>
          <w:noProof/>
          <w:vertAlign w:val="superscript"/>
        </w:rPr>
        <w:t>5</w:t>
      </w:r>
      <w:r w:rsidR="00C65AB9">
        <w:rPr>
          <w:rFonts w:eastAsiaTheme="minorEastAsia"/>
        </w:rPr>
        <w:fldChar w:fldCharType="end"/>
      </w:r>
      <w:r w:rsidR="00C65AB9" w:rsidRPr="00C65AB9">
        <w:rPr>
          <w:rFonts w:eastAsiaTheme="minorEastAsia"/>
        </w:rPr>
        <w:t>.</w:t>
      </w:r>
      <w:r w:rsidRPr="00C8275B">
        <w:t xml:space="preserve"> </w:t>
      </w:r>
      <w:r w:rsidR="006B79FF">
        <w:rPr>
          <w:rFonts w:eastAsiaTheme="minorEastAsia" w:hint="eastAsia"/>
        </w:rPr>
        <w:t>In addition, m</w:t>
      </w:r>
      <w:r w:rsidRPr="00C8275B">
        <w:t xml:space="preserve">inimizing phase separation effects can be </w:t>
      </w:r>
      <w:r w:rsidR="006B79FF">
        <w:rPr>
          <w:rFonts w:eastAsiaTheme="minorEastAsia" w:hint="eastAsia"/>
        </w:rPr>
        <w:t xml:space="preserve">also </w:t>
      </w:r>
      <w:r w:rsidRPr="00C8275B">
        <w:t>achieved by adjusting catalyst properties. This adjustment ensures that both gases remain accessible without one displacing the other. Finally, modifying the catalyst surface for stable coexistence can ensure balanced adsorption of both gases. This can be achieved through alloying or specific surface treatments, as shown in the Like Dissolves Unlike scenario.</w:t>
      </w:r>
      <w:r w:rsidR="00B72ACE">
        <w:rPr>
          <w:rFonts w:eastAsiaTheme="minorEastAsia" w:hint="eastAsia"/>
        </w:rPr>
        <w:t xml:space="preserve"> </w:t>
      </w:r>
      <w:r w:rsidR="00BD31D3">
        <w:t>These strategies provide insights for enhancing ammonia production efficiency in industrial settings, potentially maximizing yield and reducing energy consumption in the Haber-Bosch process.</w:t>
      </w:r>
    </w:p>
    <w:p w14:paraId="07043E47" w14:textId="359841A1" w:rsidR="00282DA6" w:rsidRPr="00937F2F" w:rsidRDefault="00282DA6" w:rsidP="00937F2F">
      <w:pPr>
        <w:pStyle w:val="a3"/>
        <w:numPr>
          <w:ilvl w:val="0"/>
          <w:numId w:val="15"/>
        </w:numPr>
        <w:spacing w:line="360" w:lineRule="auto"/>
        <w:ind w:leftChars="0"/>
        <w:rPr>
          <w:rFonts w:ascii="Times New Roman" w:hAnsi="Times New Roman" w:cs="Times New Roman"/>
          <w:b/>
          <w:bCs/>
          <w:sz w:val="24"/>
          <w:szCs w:val="24"/>
        </w:rPr>
      </w:pPr>
      <w:r w:rsidRPr="00937F2F">
        <w:rPr>
          <w:rFonts w:ascii="Times New Roman" w:hAnsi="Times New Roman" w:cs="Times New Roman"/>
          <w:b/>
          <w:bCs/>
          <w:sz w:val="24"/>
          <w:szCs w:val="24"/>
        </w:rPr>
        <w:t>Conclusion</w:t>
      </w:r>
    </w:p>
    <w:p w14:paraId="416A529E" w14:textId="77777777" w:rsidR="008277C3" w:rsidRPr="008277C3" w:rsidRDefault="008277C3" w:rsidP="008277C3">
      <w:pPr>
        <w:spacing w:line="360" w:lineRule="auto"/>
        <w:ind w:firstLine="720"/>
        <w:jc w:val="both"/>
        <w:rPr>
          <w:rFonts w:ascii="Times New Roman" w:hAnsi="Times New Roman" w:cs="Times New Roman"/>
          <w:sz w:val="24"/>
          <w:szCs w:val="24"/>
        </w:rPr>
      </w:pPr>
      <w:r w:rsidRPr="008277C3">
        <w:rPr>
          <w:rFonts w:ascii="Times New Roman" w:hAnsi="Times New Roman" w:cs="Times New Roman"/>
          <w:sz w:val="24"/>
          <w:szCs w:val="24"/>
        </w:rPr>
        <w:lastRenderedPageBreak/>
        <w:t>In conclusion, the adsorption behaviors observed across different interaction scenarios provide critical insights for optimizing ammonia synthesis. The Ideal Mixture and Immiscible scenarios highlight the risks of unbalanced adsorption, where excessive hydrogen coverage or phase separation can hinder nitrogen availability on the catalyst surface. In contrast, the Attractive Interactions and Like Dissolves Unlike scenarios reveal conditions where both gases achieve stable co-adsorption, supporting efficient reaction rates essential for the Haber-Bosch process.</w:t>
      </w:r>
    </w:p>
    <w:p w14:paraId="26F045C6" w14:textId="77777777" w:rsidR="008277C3" w:rsidRPr="008277C3" w:rsidRDefault="008277C3" w:rsidP="00576336">
      <w:pPr>
        <w:spacing w:line="360" w:lineRule="auto"/>
        <w:ind w:firstLine="720"/>
        <w:jc w:val="both"/>
        <w:rPr>
          <w:rFonts w:ascii="Times New Roman" w:hAnsi="Times New Roman" w:cs="Times New Roman"/>
          <w:sz w:val="24"/>
          <w:szCs w:val="24"/>
        </w:rPr>
      </w:pPr>
      <w:r w:rsidRPr="008277C3">
        <w:rPr>
          <w:rFonts w:ascii="Times New Roman" w:hAnsi="Times New Roman" w:cs="Times New Roman"/>
          <w:sz w:val="24"/>
          <w:szCs w:val="24"/>
        </w:rPr>
        <w:t>To leverage these findings, practical optimization strategies include controlling hydrogen coverage, promoting balanced co-adsorption, minimizing phase separation, and ensuring stable coexistence through surface modifications or alloying. These approaches could enhance catalyst efficiency, sustain balanced adsorption, and ultimately improve ammonia production rates. Implementing these strategies in industrial settings offers a pathway to maximizing yield and energy efficiency in ammonia synthesis.</w:t>
      </w:r>
    </w:p>
    <w:p w14:paraId="0AA3FD10" w14:textId="6D10CAC4" w:rsidR="00474CB0" w:rsidRPr="00474CB0" w:rsidRDefault="00474CB0" w:rsidP="001D16EC">
      <w:pPr>
        <w:spacing w:line="360" w:lineRule="auto"/>
        <w:jc w:val="both"/>
      </w:pPr>
    </w:p>
    <w:p w14:paraId="1504C553" w14:textId="5CF41D69" w:rsidR="00AC519F" w:rsidRDefault="00AC519F" w:rsidP="00AC519F">
      <w:pPr>
        <w:pStyle w:val="a3"/>
        <w:numPr>
          <w:ilvl w:val="0"/>
          <w:numId w:val="15"/>
        </w:numPr>
        <w:spacing w:line="360" w:lineRule="auto"/>
        <w:ind w:leftChars="0"/>
        <w:rPr>
          <w:rFonts w:ascii="Times New Roman" w:hAnsi="Times New Roman" w:cs="Times New Roman"/>
          <w:b/>
          <w:bCs/>
          <w:sz w:val="24"/>
          <w:szCs w:val="24"/>
        </w:rPr>
      </w:pPr>
      <w:r>
        <w:rPr>
          <w:rFonts w:ascii="Times New Roman" w:hAnsi="Times New Roman" w:cs="Times New Roman" w:hint="eastAsia"/>
          <w:b/>
          <w:bCs/>
          <w:sz w:val="24"/>
          <w:szCs w:val="24"/>
        </w:rPr>
        <w:t>References</w:t>
      </w:r>
    </w:p>
    <w:p w14:paraId="6052C280" w14:textId="77777777" w:rsidR="00C65AB9" w:rsidRPr="000B1541" w:rsidRDefault="00EC6F80" w:rsidP="009408A8">
      <w:pPr>
        <w:pStyle w:val="EndNoteBibliography"/>
        <w:spacing w:after="0" w:line="360" w:lineRule="auto"/>
        <w:rPr>
          <w:rFonts w:ascii="Times New Roman" w:hAnsi="Times New Roman" w:cs="Times New Roman"/>
        </w:rPr>
      </w:pPr>
      <w:r w:rsidRPr="000B1541">
        <w:rPr>
          <w:rFonts w:ascii="Times New Roman" w:hAnsi="Times New Roman" w:cs="Times New Roman"/>
        </w:rPr>
        <w:fldChar w:fldCharType="begin"/>
      </w:r>
      <w:r w:rsidRPr="000B1541">
        <w:rPr>
          <w:rFonts w:ascii="Times New Roman" w:hAnsi="Times New Roman" w:cs="Times New Roman"/>
        </w:rPr>
        <w:instrText xml:space="preserve"> ADDIN EN.REFLIST </w:instrText>
      </w:r>
      <w:r w:rsidRPr="000B1541">
        <w:rPr>
          <w:rFonts w:ascii="Times New Roman" w:hAnsi="Times New Roman" w:cs="Times New Roman"/>
        </w:rPr>
        <w:fldChar w:fldCharType="separate"/>
      </w:r>
      <w:r w:rsidR="00C65AB9" w:rsidRPr="000B1541">
        <w:rPr>
          <w:rFonts w:ascii="Times New Roman" w:hAnsi="Times New Roman" w:cs="Times New Roman"/>
        </w:rPr>
        <w:t xml:space="preserve">(1) Liu, H. </w:t>
      </w:r>
      <w:r w:rsidR="00C65AB9" w:rsidRPr="000B1541">
        <w:rPr>
          <w:rFonts w:ascii="Times New Roman" w:hAnsi="Times New Roman" w:cs="Times New Roman"/>
          <w:i/>
        </w:rPr>
        <w:t>Ammonia synthesis catalysts: innovation and practice</w:t>
      </w:r>
      <w:r w:rsidR="00C65AB9" w:rsidRPr="000B1541">
        <w:rPr>
          <w:rFonts w:ascii="Times New Roman" w:hAnsi="Times New Roman" w:cs="Times New Roman"/>
        </w:rPr>
        <w:t>; World Scientific, 2013.</w:t>
      </w:r>
    </w:p>
    <w:p w14:paraId="32880E18" w14:textId="77777777" w:rsidR="00C65AB9" w:rsidRPr="000B1541" w:rsidRDefault="00C65AB9" w:rsidP="009408A8">
      <w:pPr>
        <w:pStyle w:val="EndNoteBibliography"/>
        <w:spacing w:after="0" w:line="360" w:lineRule="auto"/>
        <w:rPr>
          <w:rFonts w:ascii="Times New Roman" w:hAnsi="Times New Roman" w:cs="Times New Roman"/>
        </w:rPr>
      </w:pPr>
      <w:r w:rsidRPr="000B1541">
        <w:rPr>
          <w:rFonts w:ascii="Times New Roman" w:hAnsi="Times New Roman" w:cs="Times New Roman"/>
        </w:rPr>
        <w:t xml:space="preserve">(2) Liu, H.; Li, Y.; Wu, H.; Liu, J.; He, D. Cuihua Xuebao/Chinese J. </w:t>
      </w:r>
      <w:r w:rsidRPr="000B1541">
        <w:rPr>
          <w:rFonts w:ascii="Times New Roman" w:hAnsi="Times New Roman" w:cs="Times New Roman"/>
          <w:i/>
        </w:rPr>
        <w:t xml:space="preserve">Catal </w:t>
      </w:r>
      <w:r w:rsidRPr="000B1541">
        <w:rPr>
          <w:rFonts w:ascii="Times New Roman" w:hAnsi="Times New Roman" w:cs="Times New Roman"/>
          <w:b/>
        </w:rPr>
        <w:t>2014</w:t>
      </w:r>
      <w:r w:rsidRPr="000B1541">
        <w:rPr>
          <w:rFonts w:ascii="Times New Roman" w:hAnsi="Times New Roman" w:cs="Times New Roman"/>
        </w:rPr>
        <w:t xml:space="preserve">, </w:t>
      </w:r>
      <w:r w:rsidRPr="000B1541">
        <w:rPr>
          <w:rFonts w:ascii="Times New Roman" w:hAnsi="Times New Roman" w:cs="Times New Roman"/>
          <w:i/>
        </w:rPr>
        <w:t>35</w:t>
      </w:r>
      <w:r w:rsidRPr="000B1541">
        <w:rPr>
          <w:rFonts w:ascii="Times New Roman" w:hAnsi="Times New Roman" w:cs="Times New Roman"/>
        </w:rPr>
        <w:t>, 1619-1640.</w:t>
      </w:r>
    </w:p>
    <w:p w14:paraId="2EAAA188" w14:textId="77777777" w:rsidR="00C65AB9" w:rsidRPr="000B1541" w:rsidRDefault="00C65AB9" w:rsidP="009408A8">
      <w:pPr>
        <w:pStyle w:val="EndNoteBibliography"/>
        <w:spacing w:after="0" w:line="360" w:lineRule="auto"/>
        <w:rPr>
          <w:rFonts w:ascii="Times New Roman" w:hAnsi="Times New Roman" w:cs="Times New Roman"/>
        </w:rPr>
      </w:pPr>
      <w:r w:rsidRPr="000B1541">
        <w:rPr>
          <w:rFonts w:ascii="Times New Roman" w:hAnsi="Times New Roman" w:cs="Times New Roman"/>
        </w:rPr>
        <w:t xml:space="preserve">(3) Liu, H. Ammonia synthesis catalyst 100 years: Practice, enlightenment and challenge. </w:t>
      </w:r>
      <w:r w:rsidRPr="000B1541">
        <w:rPr>
          <w:rFonts w:ascii="Times New Roman" w:hAnsi="Times New Roman" w:cs="Times New Roman"/>
          <w:i/>
        </w:rPr>
        <w:t xml:space="preserve">Chinese journal of catalysis </w:t>
      </w:r>
      <w:r w:rsidRPr="000B1541">
        <w:rPr>
          <w:rFonts w:ascii="Times New Roman" w:hAnsi="Times New Roman" w:cs="Times New Roman"/>
          <w:b/>
        </w:rPr>
        <w:t>2014</w:t>
      </w:r>
      <w:r w:rsidRPr="000B1541">
        <w:rPr>
          <w:rFonts w:ascii="Times New Roman" w:hAnsi="Times New Roman" w:cs="Times New Roman"/>
        </w:rPr>
        <w:t xml:space="preserve">, </w:t>
      </w:r>
      <w:r w:rsidRPr="000B1541">
        <w:rPr>
          <w:rFonts w:ascii="Times New Roman" w:hAnsi="Times New Roman" w:cs="Times New Roman"/>
          <w:i/>
        </w:rPr>
        <w:t>35</w:t>
      </w:r>
      <w:r w:rsidRPr="000B1541">
        <w:rPr>
          <w:rFonts w:ascii="Times New Roman" w:hAnsi="Times New Roman" w:cs="Times New Roman"/>
        </w:rPr>
        <w:t xml:space="preserve"> (10), 1619-1640.</w:t>
      </w:r>
    </w:p>
    <w:p w14:paraId="202AA149" w14:textId="77777777" w:rsidR="00C65AB9" w:rsidRPr="000B1541" w:rsidRDefault="00C65AB9" w:rsidP="009408A8">
      <w:pPr>
        <w:pStyle w:val="EndNoteBibliography"/>
        <w:spacing w:after="0" w:line="360" w:lineRule="auto"/>
        <w:rPr>
          <w:rFonts w:ascii="Times New Roman" w:hAnsi="Times New Roman" w:cs="Times New Roman"/>
        </w:rPr>
      </w:pPr>
      <w:r w:rsidRPr="000B1541">
        <w:rPr>
          <w:rFonts w:ascii="Times New Roman" w:hAnsi="Times New Roman" w:cs="Times New Roman"/>
        </w:rPr>
        <w:t xml:space="preserve">(4) Elvers, B. </w:t>
      </w:r>
      <w:r w:rsidRPr="000B1541">
        <w:rPr>
          <w:rFonts w:ascii="Times New Roman" w:hAnsi="Times New Roman" w:cs="Times New Roman"/>
          <w:i/>
        </w:rPr>
        <w:t>Ullmann's encyclopedia of industrial chemistry</w:t>
      </w:r>
      <w:r w:rsidRPr="000B1541">
        <w:rPr>
          <w:rFonts w:ascii="Times New Roman" w:hAnsi="Times New Roman" w:cs="Times New Roman"/>
        </w:rPr>
        <w:t>; Verlag Chemie Hoboken, NJ, 1991.</w:t>
      </w:r>
    </w:p>
    <w:p w14:paraId="2C3353F2" w14:textId="77777777" w:rsidR="00C65AB9" w:rsidRPr="000B1541" w:rsidRDefault="00C65AB9" w:rsidP="009408A8">
      <w:pPr>
        <w:pStyle w:val="EndNoteBibliography"/>
        <w:spacing w:line="360" w:lineRule="auto"/>
        <w:rPr>
          <w:rFonts w:ascii="Times New Roman" w:hAnsi="Times New Roman" w:cs="Times New Roman"/>
        </w:rPr>
      </w:pPr>
      <w:r w:rsidRPr="000B1541">
        <w:rPr>
          <w:rFonts w:ascii="Times New Roman" w:hAnsi="Times New Roman" w:cs="Times New Roman"/>
        </w:rPr>
        <w:t xml:space="preserve">(5) Ye, T.-N.; Park, S.-W.; Lu, Y.; Li, J.; Sasase, M.; Kitano, M.; Hosono, H. Contribution of nitrogen vacancies to ammonia synthesis over metal nitride catalysts. </w:t>
      </w:r>
      <w:r w:rsidRPr="000B1541">
        <w:rPr>
          <w:rFonts w:ascii="Times New Roman" w:hAnsi="Times New Roman" w:cs="Times New Roman"/>
          <w:i/>
        </w:rPr>
        <w:t xml:space="preserve">Journal of the American Chemical Society </w:t>
      </w:r>
      <w:r w:rsidRPr="000B1541">
        <w:rPr>
          <w:rFonts w:ascii="Times New Roman" w:hAnsi="Times New Roman" w:cs="Times New Roman"/>
          <w:b/>
        </w:rPr>
        <w:t>2020</w:t>
      </w:r>
      <w:r w:rsidRPr="000B1541">
        <w:rPr>
          <w:rFonts w:ascii="Times New Roman" w:hAnsi="Times New Roman" w:cs="Times New Roman"/>
        </w:rPr>
        <w:t xml:space="preserve">, </w:t>
      </w:r>
      <w:r w:rsidRPr="000B1541">
        <w:rPr>
          <w:rFonts w:ascii="Times New Roman" w:hAnsi="Times New Roman" w:cs="Times New Roman"/>
          <w:i/>
        </w:rPr>
        <w:t>142</w:t>
      </w:r>
      <w:r w:rsidRPr="000B1541">
        <w:rPr>
          <w:rFonts w:ascii="Times New Roman" w:hAnsi="Times New Roman" w:cs="Times New Roman"/>
        </w:rPr>
        <w:t xml:space="preserve"> (33), 14374-14383.</w:t>
      </w:r>
    </w:p>
    <w:p w14:paraId="106BC06A" w14:textId="519DC249" w:rsidR="001A2A46" w:rsidRDefault="00EC6F80" w:rsidP="009408A8">
      <w:pPr>
        <w:spacing w:line="360" w:lineRule="auto"/>
      </w:pPr>
      <w:r w:rsidRPr="000B1541">
        <w:rPr>
          <w:rFonts w:ascii="Times New Roman" w:hAnsi="Times New Roman" w:cs="Times New Roman"/>
        </w:rPr>
        <w:fldChar w:fldCharType="end"/>
      </w:r>
    </w:p>
    <w:sectPr w:rsidR="001A2A46">
      <w:pgSz w:w="12240" w:h="15840"/>
      <w:pgMar w:top="170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520869" w14:textId="77777777" w:rsidR="00E85596" w:rsidRDefault="00E85596" w:rsidP="007305E4">
      <w:pPr>
        <w:spacing w:after="0" w:line="240" w:lineRule="auto"/>
      </w:pPr>
      <w:r>
        <w:separator/>
      </w:r>
    </w:p>
  </w:endnote>
  <w:endnote w:type="continuationSeparator" w:id="0">
    <w:p w14:paraId="606AD095" w14:textId="77777777" w:rsidR="00E85596" w:rsidRDefault="00E85596" w:rsidP="00730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EF6BF9" w14:textId="77777777" w:rsidR="00E85596" w:rsidRDefault="00E85596" w:rsidP="007305E4">
      <w:pPr>
        <w:spacing w:after="0" w:line="240" w:lineRule="auto"/>
      </w:pPr>
      <w:r>
        <w:separator/>
      </w:r>
    </w:p>
  </w:footnote>
  <w:footnote w:type="continuationSeparator" w:id="0">
    <w:p w14:paraId="02C739F8" w14:textId="77777777" w:rsidR="00E85596" w:rsidRDefault="00E85596" w:rsidP="007305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C27"/>
    <w:multiLevelType w:val="multilevel"/>
    <w:tmpl w:val="CF9E6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F7344"/>
    <w:multiLevelType w:val="multilevel"/>
    <w:tmpl w:val="96F60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F21CC"/>
    <w:multiLevelType w:val="multilevel"/>
    <w:tmpl w:val="B136E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F7FF7"/>
    <w:multiLevelType w:val="multilevel"/>
    <w:tmpl w:val="F2FC6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8845AF"/>
    <w:multiLevelType w:val="hybridMultilevel"/>
    <w:tmpl w:val="6846A862"/>
    <w:lvl w:ilvl="0" w:tplc="78AA8248">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5" w15:restartNumberingAfterBreak="0">
    <w:nsid w:val="1743239A"/>
    <w:multiLevelType w:val="multilevel"/>
    <w:tmpl w:val="28328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A61370"/>
    <w:multiLevelType w:val="multilevel"/>
    <w:tmpl w:val="C162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9A049A"/>
    <w:multiLevelType w:val="multilevel"/>
    <w:tmpl w:val="742C3698"/>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8" w15:restartNumberingAfterBreak="0">
    <w:nsid w:val="2B5D5C24"/>
    <w:multiLevelType w:val="multilevel"/>
    <w:tmpl w:val="31088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B354A3"/>
    <w:multiLevelType w:val="multilevel"/>
    <w:tmpl w:val="65A8491A"/>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32CD3237"/>
    <w:multiLevelType w:val="multilevel"/>
    <w:tmpl w:val="554C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C20051"/>
    <w:multiLevelType w:val="multilevel"/>
    <w:tmpl w:val="9540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3942C3"/>
    <w:multiLevelType w:val="multilevel"/>
    <w:tmpl w:val="0D5CD8A6"/>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607814E9"/>
    <w:multiLevelType w:val="multilevel"/>
    <w:tmpl w:val="B2D4E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D1771D"/>
    <w:multiLevelType w:val="multilevel"/>
    <w:tmpl w:val="AC1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870F68"/>
    <w:multiLevelType w:val="multilevel"/>
    <w:tmpl w:val="61BE43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6" w15:restartNumberingAfterBreak="0">
    <w:nsid w:val="6F8508D9"/>
    <w:multiLevelType w:val="multilevel"/>
    <w:tmpl w:val="17D0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921655"/>
    <w:multiLevelType w:val="multilevel"/>
    <w:tmpl w:val="E5103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6F3A67"/>
    <w:multiLevelType w:val="multilevel"/>
    <w:tmpl w:val="86D8A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0775836">
    <w:abstractNumId w:val="16"/>
  </w:num>
  <w:num w:numId="2" w16cid:durableId="407845464">
    <w:abstractNumId w:val="11"/>
  </w:num>
  <w:num w:numId="3" w16cid:durableId="252864585">
    <w:abstractNumId w:val="3"/>
  </w:num>
  <w:num w:numId="4" w16cid:durableId="861240638">
    <w:abstractNumId w:val="17"/>
  </w:num>
  <w:num w:numId="5" w16cid:durableId="1078403074">
    <w:abstractNumId w:val="2"/>
  </w:num>
  <w:num w:numId="6" w16cid:durableId="1826583393">
    <w:abstractNumId w:val="8"/>
  </w:num>
  <w:num w:numId="7" w16cid:durableId="1447037682">
    <w:abstractNumId w:val="5"/>
  </w:num>
  <w:num w:numId="8" w16cid:durableId="32119896">
    <w:abstractNumId w:val="1"/>
  </w:num>
  <w:num w:numId="9" w16cid:durableId="449858643">
    <w:abstractNumId w:val="6"/>
  </w:num>
  <w:num w:numId="10" w16cid:durableId="1603149154">
    <w:abstractNumId w:val="13"/>
  </w:num>
  <w:num w:numId="11" w16cid:durableId="1157646892">
    <w:abstractNumId w:val="14"/>
  </w:num>
  <w:num w:numId="12" w16cid:durableId="1353528743">
    <w:abstractNumId w:val="10"/>
  </w:num>
  <w:num w:numId="13" w16cid:durableId="943225895">
    <w:abstractNumId w:val="0"/>
  </w:num>
  <w:num w:numId="14" w16cid:durableId="1771269171">
    <w:abstractNumId w:val="4"/>
  </w:num>
  <w:num w:numId="15" w16cid:durableId="1114860960">
    <w:abstractNumId w:val="15"/>
  </w:num>
  <w:num w:numId="16" w16cid:durableId="1817333120">
    <w:abstractNumId w:val="18"/>
  </w:num>
  <w:num w:numId="17" w16cid:durableId="2003463290">
    <w:abstractNumId w:val="9"/>
  </w:num>
  <w:num w:numId="18" w16cid:durableId="2003308925">
    <w:abstractNumId w:val="7"/>
  </w:num>
  <w:num w:numId="19" w16cid:durableId="17546187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fv0rttwkr0223ewzacxdaznsvpd9sztp2xv&quot;&gt;Review paper_NAWI&lt;record-ids&gt;&lt;item&gt;123&lt;/item&gt;&lt;item&gt;124&lt;/item&gt;&lt;item&gt;125&lt;/item&gt;&lt;item&gt;126&lt;/item&gt;&lt;item&gt;127&lt;/item&gt;&lt;/record-ids&gt;&lt;/item&gt;&lt;/Libraries&gt;"/>
  </w:docVars>
  <w:rsids>
    <w:rsidRoot w:val="001A2A46"/>
    <w:rsid w:val="00016DD7"/>
    <w:rsid w:val="00022920"/>
    <w:rsid w:val="0002495B"/>
    <w:rsid w:val="0003027C"/>
    <w:rsid w:val="000438C7"/>
    <w:rsid w:val="0006508E"/>
    <w:rsid w:val="0006628C"/>
    <w:rsid w:val="000735EF"/>
    <w:rsid w:val="000746ED"/>
    <w:rsid w:val="0008439B"/>
    <w:rsid w:val="00086E79"/>
    <w:rsid w:val="000874DA"/>
    <w:rsid w:val="000B1541"/>
    <w:rsid w:val="000C2321"/>
    <w:rsid w:val="000C33C0"/>
    <w:rsid w:val="000C567E"/>
    <w:rsid w:val="000D6CAF"/>
    <w:rsid w:val="000E59DA"/>
    <w:rsid w:val="000E6DA8"/>
    <w:rsid w:val="000E7067"/>
    <w:rsid w:val="000F5B03"/>
    <w:rsid w:val="000F79C6"/>
    <w:rsid w:val="00106143"/>
    <w:rsid w:val="001066BF"/>
    <w:rsid w:val="00112C0C"/>
    <w:rsid w:val="001145AD"/>
    <w:rsid w:val="00116A95"/>
    <w:rsid w:val="00117F52"/>
    <w:rsid w:val="00131B6D"/>
    <w:rsid w:val="00142B45"/>
    <w:rsid w:val="0016301E"/>
    <w:rsid w:val="00163922"/>
    <w:rsid w:val="00172724"/>
    <w:rsid w:val="00180566"/>
    <w:rsid w:val="001813B9"/>
    <w:rsid w:val="00182C96"/>
    <w:rsid w:val="00185E22"/>
    <w:rsid w:val="001860EC"/>
    <w:rsid w:val="00193C57"/>
    <w:rsid w:val="001A0328"/>
    <w:rsid w:val="001A2476"/>
    <w:rsid w:val="001A2A46"/>
    <w:rsid w:val="001A7EB3"/>
    <w:rsid w:val="001B1790"/>
    <w:rsid w:val="001D16EC"/>
    <w:rsid w:val="001D3C8F"/>
    <w:rsid w:val="001D3D75"/>
    <w:rsid w:val="001F35B5"/>
    <w:rsid w:val="001F57B9"/>
    <w:rsid w:val="002018CC"/>
    <w:rsid w:val="002108D0"/>
    <w:rsid w:val="002121D2"/>
    <w:rsid w:val="00220DAE"/>
    <w:rsid w:val="0022186A"/>
    <w:rsid w:val="0022416F"/>
    <w:rsid w:val="00226F8B"/>
    <w:rsid w:val="002376E7"/>
    <w:rsid w:val="00254BA8"/>
    <w:rsid w:val="0025640D"/>
    <w:rsid w:val="002628CC"/>
    <w:rsid w:val="00265A95"/>
    <w:rsid w:val="00280983"/>
    <w:rsid w:val="002819C7"/>
    <w:rsid w:val="00282DA6"/>
    <w:rsid w:val="00284537"/>
    <w:rsid w:val="002868C5"/>
    <w:rsid w:val="0029026A"/>
    <w:rsid w:val="002A06FE"/>
    <w:rsid w:val="002A1CB4"/>
    <w:rsid w:val="002A4CF2"/>
    <w:rsid w:val="002A5D23"/>
    <w:rsid w:val="002A6385"/>
    <w:rsid w:val="002D0271"/>
    <w:rsid w:val="002D076D"/>
    <w:rsid w:val="002D110F"/>
    <w:rsid w:val="002D2573"/>
    <w:rsid w:val="002E62DB"/>
    <w:rsid w:val="002E6351"/>
    <w:rsid w:val="002F1F7A"/>
    <w:rsid w:val="002F2BDB"/>
    <w:rsid w:val="0030106E"/>
    <w:rsid w:val="00310F94"/>
    <w:rsid w:val="00312775"/>
    <w:rsid w:val="003148FB"/>
    <w:rsid w:val="003168B8"/>
    <w:rsid w:val="003257D4"/>
    <w:rsid w:val="0032673C"/>
    <w:rsid w:val="00327361"/>
    <w:rsid w:val="0033007F"/>
    <w:rsid w:val="00332B59"/>
    <w:rsid w:val="003357C5"/>
    <w:rsid w:val="00345568"/>
    <w:rsid w:val="00351DCA"/>
    <w:rsid w:val="0036172B"/>
    <w:rsid w:val="003619EC"/>
    <w:rsid w:val="00367C9C"/>
    <w:rsid w:val="00373495"/>
    <w:rsid w:val="003819AF"/>
    <w:rsid w:val="00387149"/>
    <w:rsid w:val="003915ED"/>
    <w:rsid w:val="003949BE"/>
    <w:rsid w:val="003A1807"/>
    <w:rsid w:val="003A1F1C"/>
    <w:rsid w:val="003A6979"/>
    <w:rsid w:val="003A71B0"/>
    <w:rsid w:val="003C0823"/>
    <w:rsid w:val="003C2031"/>
    <w:rsid w:val="003C3759"/>
    <w:rsid w:val="003C5296"/>
    <w:rsid w:val="003C62D0"/>
    <w:rsid w:val="003C65AC"/>
    <w:rsid w:val="003D4B4E"/>
    <w:rsid w:val="003E1FB8"/>
    <w:rsid w:val="003E4F3F"/>
    <w:rsid w:val="003E7CD1"/>
    <w:rsid w:val="00402651"/>
    <w:rsid w:val="00416978"/>
    <w:rsid w:val="004217C4"/>
    <w:rsid w:val="00426AE7"/>
    <w:rsid w:val="00435BE5"/>
    <w:rsid w:val="004448A3"/>
    <w:rsid w:val="00474CB0"/>
    <w:rsid w:val="004753A3"/>
    <w:rsid w:val="00483188"/>
    <w:rsid w:val="004903B4"/>
    <w:rsid w:val="004903FF"/>
    <w:rsid w:val="00490483"/>
    <w:rsid w:val="004A30B3"/>
    <w:rsid w:val="004B1BAB"/>
    <w:rsid w:val="004D1522"/>
    <w:rsid w:val="004D1B63"/>
    <w:rsid w:val="004D2D1F"/>
    <w:rsid w:val="004D2E25"/>
    <w:rsid w:val="004D7BCD"/>
    <w:rsid w:val="00502690"/>
    <w:rsid w:val="00503924"/>
    <w:rsid w:val="0051596F"/>
    <w:rsid w:val="0052104B"/>
    <w:rsid w:val="0053110E"/>
    <w:rsid w:val="00531EF7"/>
    <w:rsid w:val="00533C40"/>
    <w:rsid w:val="00535898"/>
    <w:rsid w:val="00536107"/>
    <w:rsid w:val="005405A3"/>
    <w:rsid w:val="005418CB"/>
    <w:rsid w:val="00542400"/>
    <w:rsid w:val="0055216E"/>
    <w:rsid w:val="00553887"/>
    <w:rsid w:val="00571384"/>
    <w:rsid w:val="00576336"/>
    <w:rsid w:val="00581DA9"/>
    <w:rsid w:val="005844CB"/>
    <w:rsid w:val="00585B23"/>
    <w:rsid w:val="0059438C"/>
    <w:rsid w:val="005951B1"/>
    <w:rsid w:val="005A0513"/>
    <w:rsid w:val="005A09E9"/>
    <w:rsid w:val="005A2742"/>
    <w:rsid w:val="005A4145"/>
    <w:rsid w:val="005A448A"/>
    <w:rsid w:val="005A6AB9"/>
    <w:rsid w:val="005B6F8C"/>
    <w:rsid w:val="005C5207"/>
    <w:rsid w:val="005C75D5"/>
    <w:rsid w:val="005D2C5F"/>
    <w:rsid w:val="005D4B94"/>
    <w:rsid w:val="005D7F5D"/>
    <w:rsid w:val="005E4EAF"/>
    <w:rsid w:val="005F7509"/>
    <w:rsid w:val="00611387"/>
    <w:rsid w:val="00611C48"/>
    <w:rsid w:val="0061653E"/>
    <w:rsid w:val="00621BC8"/>
    <w:rsid w:val="00630031"/>
    <w:rsid w:val="00633E26"/>
    <w:rsid w:val="00634EA3"/>
    <w:rsid w:val="006361C9"/>
    <w:rsid w:val="00642D14"/>
    <w:rsid w:val="006432EA"/>
    <w:rsid w:val="0064412B"/>
    <w:rsid w:val="0066157D"/>
    <w:rsid w:val="006812B0"/>
    <w:rsid w:val="00690B57"/>
    <w:rsid w:val="00697CA8"/>
    <w:rsid w:val="006A4B8A"/>
    <w:rsid w:val="006A5F5F"/>
    <w:rsid w:val="006B0873"/>
    <w:rsid w:val="006B4CAF"/>
    <w:rsid w:val="006B70A7"/>
    <w:rsid w:val="006B79FF"/>
    <w:rsid w:val="006C0F5B"/>
    <w:rsid w:val="006D0408"/>
    <w:rsid w:val="006D6EE5"/>
    <w:rsid w:val="006D7A76"/>
    <w:rsid w:val="006E2C0A"/>
    <w:rsid w:val="006E61FF"/>
    <w:rsid w:val="006E789C"/>
    <w:rsid w:val="006F03C8"/>
    <w:rsid w:val="006F1A4A"/>
    <w:rsid w:val="006F6AB2"/>
    <w:rsid w:val="00700818"/>
    <w:rsid w:val="00705622"/>
    <w:rsid w:val="0070659C"/>
    <w:rsid w:val="00710DB3"/>
    <w:rsid w:val="00715A77"/>
    <w:rsid w:val="007172F1"/>
    <w:rsid w:val="007201B9"/>
    <w:rsid w:val="00722332"/>
    <w:rsid w:val="007305E4"/>
    <w:rsid w:val="007332E1"/>
    <w:rsid w:val="007404E8"/>
    <w:rsid w:val="00741F73"/>
    <w:rsid w:val="00743A53"/>
    <w:rsid w:val="00744815"/>
    <w:rsid w:val="00761469"/>
    <w:rsid w:val="0078602D"/>
    <w:rsid w:val="007A2676"/>
    <w:rsid w:val="007A5E62"/>
    <w:rsid w:val="007B2968"/>
    <w:rsid w:val="007B3E83"/>
    <w:rsid w:val="007B51DF"/>
    <w:rsid w:val="007B7C91"/>
    <w:rsid w:val="007C13C3"/>
    <w:rsid w:val="007C7B56"/>
    <w:rsid w:val="007D38A4"/>
    <w:rsid w:val="007E66F4"/>
    <w:rsid w:val="007F2EFE"/>
    <w:rsid w:val="008015D5"/>
    <w:rsid w:val="00801B42"/>
    <w:rsid w:val="008036E8"/>
    <w:rsid w:val="008125EE"/>
    <w:rsid w:val="008143DA"/>
    <w:rsid w:val="008144AB"/>
    <w:rsid w:val="0082139E"/>
    <w:rsid w:val="00823304"/>
    <w:rsid w:val="008254D4"/>
    <w:rsid w:val="00825B97"/>
    <w:rsid w:val="0082644B"/>
    <w:rsid w:val="00826B1D"/>
    <w:rsid w:val="008277C3"/>
    <w:rsid w:val="00834461"/>
    <w:rsid w:val="00840EC7"/>
    <w:rsid w:val="00842B13"/>
    <w:rsid w:val="008446CD"/>
    <w:rsid w:val="00847B1C"/>
    <w:rsid w:val="00853EAB"/>
    <w:rsid w:val="00862FDC"/>
    <w:rsid w:val="008751C8"/>
    <w:rsid w:val="00877438"/>
    <w:rsid w:val="00880434"/>
    <w:rsid w:val="0089313E"/>
    <w:rsid w:val="00896C6B"/>
    <w:rsid w:val="008A3E7C"/>
    <w:rsid w:val="008A6D8D"/>
    <w:rsid w:val="008B1FA8"/>
    <w:rsid w:val="008B2BEB"/>
    <w:rsid w:val="008B32FF"/>
    <w:rsid w:val="008B3939"/>
    <w:rsid w:val="008B76D9"/>
    <w:rsid w:val="008C1AD8"/>
    <w:rsid w:val="008C7AF4"/>
    <w:rsid w:val="008D1E11"/>
    <w:rsid w:val="008D606C"/>
    <w:rsid w:val="008D6865"/>
    <w:rsid w:val="008E07F2"/>
    <w:rsid w:val="008E3815"/>
    <w:rsid w:val="008E5F71"/>
    <w:rsid w:val="008E605C"/>
    <w:rsid w:val="008F6902"/>
    <w:rsid w:val="008F6C04"/>
    <w:rsid w:val="00902CD0"/>
    <w:rsid w:val="00911444"/>
    <w:rsid w:val="00914D69"/>
    <w:rsid w:val="00915D6E"/>
    <w:rsid w:val="009207BC"/>
    <w:rsid w:val="009303A7"/>
    <w:rsid w:val="00937F2F"/>
    <w:rsid w:val="009408A8"/>
    <w:rsid w:val="00946D4D"/>
    <w:rsid w:val="00947912"/>
    <w:rsid w:val="00950BA5"/>
    <w:rsid w:val="009538D7"/>
    <w:rsid w:val="00953CDD"/>
    <w:rsid w:val="00954806"/>
    <w:rsid w:val="009766CA"/>
    <w:rsid w:val="009819C1"/>
    <w:rsid w:val="00991533"/>
    <w:rsid w:val="00995E27"/>
    <w:rsid w:val="00996B16"/>
    <w:rsid w:val="009A699E"/>
    <w:rsid w:val="009A7DF2"/>
    <w:rsid w:val="009C361C"/>
    <w:rsid w:val="009D1C11"/>
    <w:rsid w:val="009D6F2A"/>
    <w:rsid w:val="009E12EC"/>
    <w:rsid w:val="009E25C2"/>
    <w:rsid w:val="009E4F2E"/>
    <w:rsid w:val="009F3E81"/>
    <w:rsid w:val="00A1088A"/>
    <w:rsid w:val="00A427D4"/>
    <w:rsid w:val="00A47F37"/>
    <w:rsid w:val="00A516EC"/>
    <w:rsid w:val="00A52D56"/>
    <w:rsid w:val="00A5651F"/>
    <w:rsid w:val="00A57004"/>
    <w:rsid w:val="00A6090C"/>
    <w:rsid w:val="00A6732C"/>
    <w:rsid w:val="00A704EA"/>
    <w:rsid w:val="00A7120A"/>
    <w:rsid w:val="00A76777"/>
    <w:rsid w:val="00A9120F"/>
    <w:rsid w:val="00A92585"/>
    <w:rsid w:val="00A93AB0"/>
    <w:rsid w:val="00A93E9C"/>
    <w:rsid w:val="00AA0654"/>
    <w:rsid w:val="00AA51D1"/>
    <w:rsid w:val="00AB6D75"/>
    <w:rsid w:val="00AB74F3"/>
    <w:rsid w:val="00AB7D3F"/>
    <w:rsid w:val="00AC519F"/>
    <w:rsid w:val="00AD11AE"/>
    <w:rsid w:val="00AD428B"/>
    <w:rsid w:val="00AE38A4"/>
    <w:rsid w:val="00AE3996"/>
    <w:rsid w:val="00B01052"/>
    <w:rsid w:val="00B075D9"/>
    <w:rsid w:val="00B139EA"/>
    <w:rsid w:val="00B16A59"/>
    <w:rsid w:val="00B16BE7"/>
    <w:rsid w:val="00B22C89"/>
    <w:rsid w:val="00B24F5B"/>
    <w:rsid w:val="00B26B75"/>
    <w:rsid w:val="00B373BB"/>
    <w:rsid w:val="00B4029F"/>
    <w:rsid w:val="00B41373"/>
    <w:rsid w:val="00B47B94"/>
    <w:rsid w:val="00B5025A"/>
    <w:rsid w:val="00B60CB6"/>
    <w:rsid w:val="00B646AF"/>
    <w:rsid w:val="00B6513F"/>
    <w:rsid w:val="00B7011A"/>
    <w:rsid w:val="00B71085"/>
    <w:rsid w:val="00B72ACE"/>
    <w:rsid w:val="00B878F2"/>
    <w:rsid w:val="00B909FE"/>
    <w:rsid w:val="00B9488E"/>
    <w:rsid w:val="00B95F4D"/>
    <w:rsid w:val="00BA5D65"/>
    <w:rsid w:val="00BB0D01"/>
    <w:rsid w:val="00BB23E7"/>
    <w:rsid w:val="00BB277A"/>
    <w:rsid w:val="00BC16BD"/>
    <w:rsid w:val="00BC1DD3"/>
    <w:rsid w:val="00BC3AF0"/>
    <w:rsid w:val="00BD25D5"/>
    <w:rsid w:val="00BD31D3"/>
    <w:rsid w:val="00BF1203"/>
    <w:rsid w:val="00BF2B1A"/>
    <w:rsid w:val="00BF2C40"/>
    <w:rsid w:val="00BF3A0D"/>
    <w:rsid w:val="00BF3A3D"/>
    <w:rsid w:val="00BF5BF9"/>
    <w:rsid w:val="00C036F5"/>
    <w:rsid w:val="00C13390"/>
    <w:rsid w:val="00C1347F"/>
    <w:rsid w:val="00C14B05"/>
    <w:rsid w:val="00C154F1"/>
    <w:rsid w:val="00C17F64"/>
    <w:rsid w:val="00C25E78"/>
    <w:rsid w:val="00C27F2E"/>
    <w:rsid w:val="00C34BFF"/>
    <w:rsid w:val="00C420FA"/>
    <w:rsid w:val="00C43AF5"/>
    <w:rsid w:val="00C43BE8"/>
    <w:rsid w:val="00C45842"/>
    <w:rsid w:val="00C573EF"/>
    <w:rsid w:val="00C61CD1"/>
    <w:rsid w:val="00C65AB9"/>
    <w:rsid w:val="00C75EB4"/>
    <w:rsid w:val="00C8275B"/>
    <w:rsid w:val="00C972A5"/>
    <w:rsid w:val="00CA5EA7"/>
    <w:rsid w:val="00CA6DD7"/>
    <w:rsid w:val="00CB1E76"/>
    <w:rsid w:val="00CB4735"/>
    <w:rsid w:val="00CB795D"/>
    <w:rsid w:val="00CC381F"/>
    <w:rsid w:val="00CD0805"/>
    <w:rsid w:val="00CD151C"/>
    <w:rsid w:val="00CD159A"/>
    <w:rsid w:val="00CD36B5"/>
    <w:rsid w:val="00CF1111"/>
    <w:rsid w:val="00CF6A51"/>
    <w:rsid w:val="00D02724"/>
    <w:rsid w:val="00D03518"/>
    <w:rsid w:val="00D0367C"/>
    <w:rsid w:val="00D079B6"/>
    <w:rsid w:val="00D2278B"/>
    <w:rsid w:val="00D22FA3"/>
    <w:rsid w:val="00D24961"/>
    <w:rsid w:val="00D30FF6"/>
    <w:rsid w:val="00D463C2"/>
    <w:rsid w:val="00D46AFC"/>
    <w:rsid w:val="00D72288"/>
    <w:rsid w:val="00D73B71"/>
    <w:rsid w:val="00D86A82"/>
    <w:rsid w:val="00D90608"/>
    <w:rsid w:val="00DA0656"/>
    <w:rsid w:val="00DA3F9E"/>
    <w:rsid w:val="00DA6879"/>
    <w:rsid w:val="00DB54D4"/>
    <w:rsid w:val="00DE349C"/>
    <w:rsid w:val="00DE531B"/>
    <w:rsid w:val="00DF0C45"/>
    <w:rsid w:val="00DF1F91"/>
    <w:rsid w:val="00DF4E74"/>
    <w:rsid w:val="00E001FB"/>
    <w:rsid w:val="00E163F8"/>
    <w:rsid w:val="00E207FE"/>
    <w:rsid w:val="00E21A5E"/>
    <w:rsid w:val="00E318EA"/>
    <w:rsid w:val="00E40EEF"/>
    <w:rsid w:val="00E50C10"/>
    <w:rsid w:val="00E623F3"/>
    <w:rsid w:val="00E638A3"/>
    <w:rsid w:val="00E8153D"/>
    <w:rsid w:val="00E85596"/>
    <w:rsid w:val="00E87100"/>
    <w:rsid w:val="00E90A68"/>
    <w:rsid w:val="00E964D6"/>
    <w:rsid w:val="00EB2C77"/>
    <w:rsid w:val="00EB3EDB"/>
    <w:rsid w:val="00EB77D2"/>
    <w:rsid w:val="00EC51C7"/>
    <w:rsid w:val="00EC6F80"/>
    <w:rsid w:val="00ED3CF2"/>
    <w:rsid w:val="00ED7212"/>
    <w:rsid w:val="00EE1B90"/>
    <w:rsid w:val="00EE4A48"/>
    <w:rsid w:val="00EE714B"/>
    <w:rsid w:val="00EF061E"/>
    <w:rsid w:val="00EF1068"/>
    <w:rsid w:val="00EF59D7"/>
    <w:rsid w:val="00F1563E"/>
    <w:rsid w:val="00F24EDD"/>
    <w:rsid w:val="00F27E7D"/>
    <w:rsid w:val="00F41B9F"/>
    <w:rsid w:val="00F44D24"/>
    <w:rsid w:val="00F549EE"/>
    <w:rsid w:val="00F54ED6"/>
    <w:rsid w:val="00F60DC0"/>
    <w:rsid w:val="00F67E1C"/>
    <w:rsid w:val="00F85853"/>
    <w:rsid w:val="00FA5CDC"/>
    <w:rsid w:val="00FB1099"/>
    <w:rsid w:val="00FB3BFD"/>
    <w:rsid w:val="00FC7CE5"/>
    <w:rsid w:val="00FD1F31"/>
    <w:rsid w:val="00FE0D7A"/>
    <w:rsid w:val="00FE19E4"/>
    <w:rsid w:val="00FE65D0"/>
    <w:rsid w:val="00FF713A"/>
    <w:rsid w:val="00FF7A3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BE059"/>
  <w15:chartTrackingRefBased/>
  <w15:docId w15:val="{9E1A9EE9-CB81-4C50-8916-626AE5656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1B90"/>
    <w:pPr>
      <w:widowControl w:val="0"/>
      <w:wordWrap w:val="0"/>
      <w:autoSpaceDE w:val="0"/>
      <w:autoSpaceDN w:val="0"/>
      <w:ind w:leftChars="400" w:left="800"/>
      <w:jc w:val="both"/>
    </w:pPr>
    <w:rPr>
      <w:sz w:val="20"/>
      <w14:ligatures w14:val="none"/>
    </w:rPr>
  </w:style>
  <w:style w:type="paragraph" w:styleId="a4">
    <w:name w:val="Normal (Web)"/>
    <w:basedOn w:val="a"/>
    <w:uiPriority w:val="99"/>
    <w:unhideWhenUsed/>
    <w:rsid w:val="001D3D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katex-mathml">
    <w:name w:val="katex-mathml"/>
    <w:basedOn w:val="a0"/>
    <w:rsid w:val="001D3D75"/>
  </w:style>
  <w:style w:type="character" w:customStyle="1" w:styleId="mopen">
    <w:name w:val="mopen"/>
    <w:basedOn w:val="a0"/>
    <w:rsid w:val="001D3D75"/>
  </w:style>
  <w:style w:type="character" w:customStyle="1" w:styleId="mord">
    <w:name w:val="mord"/>
    <w:basedOn w:val="a0"/>
    <w:rsid w:val="001D3D75"/>
  </w:style>
  <w:style w:type="character" w:customStyle="1" w:styleId="vlist-s">
    <w:name w:val="vlist-s"/>
    <w:basedOn w:val="a0"/>
    <w:rsid w:val="001D3D75"/>
  </w:style>
  <w:style w:type="character" w:customStyle="1" w:styleId="mclose">
    <w:name w:val="mclose"/>
    <w:basedOn w:val="a0"/>
    <w:rsid w:val="001D3D75"/>
  </w:style>
  <w:style w:type="character" w:customStyle="1" w:styleId="mbin">
    <w:name w:val="mbin"/>
    <w:basedOn w:val="a0"/>
    <w:rsid w:val="001D3D75"/>
  </w:style>
  <w:style w:type="table" w:styleId="a5">
    <w:name w:val="Table Grid"/>
    <w:basedOn w:val="a1"/>
    <w:uiPriority w:val="39"/>
    <w:rsid w:val="001D3C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1D3C8F"/>
    <w:rPr>
      <w:color w:val="666666"/>
    </w:rPr>
  </w:style>
  <w:style w:type="table" w:styleId="1">
    <w:name w:val="Grid Table 1 Light"/>
    <w:basedOn w:val="a1"/>
    <w:uiPriority w:val="46"/>
    <w:rsid w:val="001D3C8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
    <w:name w:val="Plain Table 5"/>
    <w:basedOn w:val="a1"/>
    <w:uiPriority w:val="45"/>
    <w:rsid w:val="001D3C8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7">
    <w:name w:val="Strong"/>
    <w:basedOn w:val="a0"/>
    <w:uiPriority w:val="22"/>
    <w:qFormat/>
    <w:rsid w:val="00BD31D3"/>
    <w:rPr>
      <w:b/>
      <w:bCs/>
    </w:rPr>
  </w:style>
  <w:style w:type="paragraph" w:styleId="a8">
    <w:name w:val="header"/>
    <w:basedOn w:val="a"/>
    <w:link w:val="Char"/>
    <w:uiPriority w:val="99"/>
    <w:unhideWhenUsed/>
    <w:rsid w:val="007305E4"/>
    <w:pPr>
      <w:tabs>
        <w:tab w:val="center" w:pos="4680"/>
        <w:tab w:val="right" w:pos="9360"/>
      </w:tabs>
      <w:spacing w:after="0" w:line="240" w:lineRule="auto"/>
    </w:pPr>
  </w:style>
  <w:style w:type="character" w:customStyle="1" w:styleId="Char">
    <w:name w:val="머리글 Char"/>
    <w:basedOn w:val="a0"/>
    <w:link w:val="a8"/>
    <w:uiPriority w:val="99"/>
    <w:rsid w:val="007305E4"/>
  </w:style>
  <w:style w:type="paragraph" w:styleId="a9">
    <w:name w:val="footer"/>
    <w:basedOn w:val="a"/>
    <w:link w:val="Char0"/>
    <w:uiPriority w:val="99"/>
    <w:unhideWhenUsed/>
    <w:rsid w:val="007305E4"/>
    <w:pPr>
      <w:tabs>
        <w:tab w:val="center" w:pos="4680"/>
        <w:tab w:val="right" w:pos="9360"/>
      </w:tabs>
      <w:spacing w:after="0" w:line="240" w:lineRule="auto"/>
    </w:pPr>
  </w:style>
  <w:style w:type="character" w:customStyle="1" w:styleId="Char0">
    <w:name w:val="바닥글 Char"/>
    <w:basedOn w:val="a0"/>
    <w:link w:val="a9"/>
    <w:uiPriority w:val="99"/>
    <w:rsid w:val="007305E4"/>
  </w:style>
  <w:style w:type="paragraph" w:customStyle="1" w:styleId="EndNoteBibliographyTitle">
    <w:name w:val="EndNote Bibliography Title"/>
    <w:basedOn w:val="a"/>
    <w:link w:val="EndNoteBibliographyTitleChar"/>
    <w:rsid w:val="00EC6F80"/>
    <w:pPr>
      <w:spacing w:after="0"/>
      <w:jc w:val="center"/>
    </w:pPr>
    <w:rPr>
      <w:rFonts w:ascii="Calibri" w:hAnsi="Calibri" w:cs="Calibri"/>
      <w:noProof/>
    </w:rPr>
  </w:style>
  <w:style w:type="character" w:customStyle="1" w:styleId="EndNoteBibliographyTitleChar">
    <w:name w:val="EndNote Bibliography Title Char"/>
    <w:basedOn w:val="a0"/>
    <w:link w:val="EndNoteBibliographyTitle"/>
    <w:rsid w:val="00EC6F80"/>
    <w:rPr>
      <w:rFonts w:ascii="Calibri" w:hAnsi="Calibri" w:cs="Calibri"/>
      <w:noProof/>
    </w:rPr>
  </w:style>
  <w:style w:type="paragraph" w:customStyle="1" w:styleId="EndNoteBibliography">
    <w:name w:val="EndNote Bibliography"/>
    <w:basedOn w:val="a"/>
    <w:link w:val="EndNoteBibliographyChar"/>
    <w:rsid w:val="00EC6F80"/>
    <w:pPr>
      <w:spacing w:line="240" w:lineRule="auto"/>
      <w:jc w:val="both"/>
    </w:pPr>
    <w:rPr>
      <w:rFonts w:ascii="Calibri" w:hAnsi="Calibri" w:cs="Calibri"/>
      <w:noProof/>
    </w:rPr>
  </w:style>
  <w:style w:type="character" w:customStyle="1" w:styleId="EndNoteBibliographyChar">
    <w:name w:val="EndNote Bibliography Char"/>
    <w:basedOn w:val="a0"/>
    <w:link w:val="EndNoteBibliography"/>
    <w:rsid w:val="00EC6F80"/>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16610">
      <w:bodyDiv w:val="1"/>
      <w:marLeft w:val="0"/>
      <w:marRight w:val="0"/>
      <w:marTop w:val="0"/>
      <w:marBottom w:val="0"/>
      <w:divBdr>
        <w:top w:val="none" w:sz="0" w:space="0" w:color="auto"/>
        <w:left w:val="none" w:sz="0" w:space="0" w:color="auto"/>
        <w:bottom w:val="none" w:sz="0" w:space="0" w:color="auto"/>
        <w:right w:val="none" w:sz="0" w:space="0" w:color="auto"/>
      </w:divBdr>
    </w:div>
    <w:div w:id="47533794">
      <w:bodyDiv w:val="1"/>
      <w:marLeft w:val="0"/>
      <w:marRight w:val="0"/>
      <w:marTop w:val="0"/>
      <w:marBottom w:val="0"/>
      <w:divBdr>
        <w:top w:val="none" w:sz="0" w:space="0" w:color="auto"/>
        <w:left w:val="none" w:sz="0" w:space="0" w:color="auto"/>
        <w:bottom w:val="none" w:sz="0" w:space="0" w:color="auto"/>
        <w:right w:val="none" w:sz="0" w:space="0" w:color="auto"/>
      </w:divBdr>
    </w:div>
    <w:div w:id="115803076">
      <w:bodyDiv w:val="1"/>
      <w:marLeft w:val="0"/>
      <w:marRight w:val="0"/>
      <w:marTop w:val="0"/>
      <w:marBottom w:val="0"/>
      <w:divBdr>
        <w:top w:val="none" w:sz="0" w:space="0" w:color="auto"/>
        <w:left w:val="none" w:sz="0" w:space="0" w:color="auto"/>
        <w:bottom w:val="none" w:sz="0" w:space="0" w:color="auto"/>
        <w:right w:val="none" w:sz="0" w:space="0" w:color="auto"/>
      </w:divBdr>
    </w:div>
    <w:div w:id="157885306">
      <w:bodyDiv w:val="1"/>
      <w:marLeft w:val="0"/>
      <w:marRight w:val="0"/>
      <w:marTop w:val="0"/>
      <w:marBottom w:val="0"/>
      <w:divBdr>
        <w:top w:val="none" w:sz="0" w:space="0" w:color="auto"/>
        <w:left w:val="none" w:sz="0" w:space="0" w:color="auto"/>
        <w:bottom w:val="none" w:sz="0" w:space="0" w:color="auto"/>
        <w:right w:val="none" w:sz="0" w:space="0" w:color="auto"/>
      </w:divBdr>
    </w:div>
    <w:div w:id="265582448">
      <w:bodyDiv w:val="1"/>
      <w:marLeft w:val="0"/>
      <w:marRight w:val="0"/>
      <w:marTop w:val="0"/>
      <w:marBottom w:val="0"/>
      <w:divBdr>
        <w:top w:val="none" w:sz="0" w:space="0" w:color="auto"/>
        <w:left w:val="none" w:sz="0" w:space="0" w:color="auto"/>
        <w:bottom w:val="none" w:sz="0" w:space="0" w:color="auto"/>
        <w:right w:val="none" w:sz="0" w:space="0" w:color="auto"/>
      </w:divBdr>
    </w:div>
    <w:div w:id="282616714">
      <w:bodyDiv w:val="1"/>
      <w:marLeft w:val="0"/>
      <w:marRight w:val="0"/>
      <w:marTop w:val="0"/>
      <w:marBottom w:val="0"/>
      <w:divBdr>
        <w:top w:val="none" w:sz="0" w:space="0" w:color="auto"/>
        <w:left w:val="none" w:sz="0" w:space="0" w:color="auto"/>
        <w:bottom w:val="none" w:sz="0" w:space="0" w:color="auto"/>
        <w:right w:val="none" w:sz="0" w:space="0" w:color="auto"/>
      </w:divBdr>
    </w:div>
    <w:div w:id="325322647">
      <w:bodyDiv w:val="1"/>
      <w:marLeft w:val="0"/>
      <w:marRight w:val="0"/>
      <w:marTop w:val="0"/>
      <w:marBottom w:val="0"/>
      <w:divBdr>
        <w:top w:val="none" w:sz="0" w:space="0" w:color="auto"/>
        <w:left w:val="none" w:sz="0" w:space="0" w:color="auto"/>
        <w:bottom w:val="none" w:sz="0" w:space="0" w:color="auto"/>
        <w:right w:val="none" w:sz="0" w:space="0" w:color="auto"/>
      </w:divBdr>
    </w:div>
    <w:div w:id="418605754">
      <w:bodyDiv w:val="1"/>
      <w:marLeft w:val="0"/>
      <w:marRight w:val="0"/>
      <w:marTop w:val="0"/>
      <w:marBottom w:val="0"/>
      <w:divBdr>
        <w:top w:val="none" w:sz="0" w:space="0" w:color="auto"/>
        <w:left w:val="none" w:sz="0" w:space="0" w:color="auto"/>
        <w:bottom w:val="none" w:sz="0" w:space="0" w:color="auto"/>
        <w:right w:val="none" w:sz="0" w:space="0" w:color="auto"/>
      </w:divBdr>
    </w:div>
    <w:div w:id="497311231">
      <w:bodyDiv w:val="1"/>
      <w:marLeft w:val="0"/>
      <w:marRight w:val="0"/>
      <w:marTop w:val="0"/>
      <w:marBottom w:val="0"/>
      <w:divBdr>
        <w:top w:val="none" w:sz="0" w:space="0" w:color="auto"/>
        <w:left w:val="none" w:sz="0" w:space="0" w:color="auto"/>
        <w:bottom w:val="none" w:sz="0" w:space="0" w:color="auto"/>
        <w:right w:val="none" w:sz="0" w:space="0" w:color="auto"/>
      </w:divBdr>
    </w:div>
    <w:div w:id="519664111">
      <w:bodyDiv w:val="1"/>
      <w:marLeft w:val="0"/>
      <w:marRight w:val="0"/>
      <w:marTop w:val="0"/>
      <w:marBottom w:val="0"/>
      <w:divBdr>
        <w:top w:val="none" w:sz="0" w:space="0" w:color="auto"/>
        <w:left w:val="none" w:sz="0" w:space="0" w:color="auto"/>
        <w:bottom w:val="none" w:sz="0" w:space="0" w:color="auto"/>
        <w:right w:val="none" w:sz="0" w:space="0" w:color="auto"/>
      </w:divBdr>
    </w:div>
    <w:div w:id="599459381">
      <w:bodyDiv w:val="1"/>
      <w:marLeft w:val="0"/>
      <w:marRight w:val="0"/>
      <w:marTop w:val="0"/>
      <w:marBottom w:val="0"/>
      <w:divBdr>
        <w:top w:val="none" w:sz="0" w:space="0" w:color="auto"/>
        <w:left w:val="none" w:sz="0" w:space="0" w:color="auto"/>
        <w:bottom w:val="none" w:sz="0" w:space="0" w:color="auto"/>
        <w:right w:val="none" w:sz="0" w:space="0" w:color="auto"/>
      </w:divBdr>
    </w:div>
    <w:div w:id="611978845">
      <w:bodyDiv w:val="1"/>
      <w:marLeft w:val="0"/>
      <w:marRight w:val="0"/>
      <w:marTop w:val="0"/>
      <w:marBottom w:val="0"/>
      <w:divBdr>
        <w:top w:val="none" w:sz="0" w:space="0" w:color="auto"/>
        <w:left w:val="none" w:sz="0" w:space="0" w:color="auto"/>
        <w:bottom w:val="none" w:sz="0" w:space="0" w:color="auto"/>
        <w:right w:val="none" w:sz="0" w:space="0" w:color="auto"/>
      </w:divBdr>
    </w:div>
    <w:div w:id="623779804">
      <w:bodyDiv w:val="1"/>
      <w:marLeft w:val="0"/>
      <w:marRight w:val="0"/>
      <w:marTop w:val="0"/>
      <w:marBottom w:val="0"/>
      <w:divBdr>
        <w:top w:val="none" w:sz="0" w:space="0" w:color="auto"/>
        <w:left w:val="none" w:sz="0" w:space="0" w:color="auto"/>
        <w:bottom w:val="none" w:sz="0" w:space="0" w:color="auto"/>
        <w:right w:val="none" w:sz="0" w:space="0" w:color="auto"/>
      </w:divBdr>
    </w:div>
    <w:div w:id="798574725">
      <w:bodyDiv w:val="1"/>
      <w:marLeft w:val="0"/>
      <w:marRight w:val="0"/>
      <w:marTop w:val="0"/>
      <w:marBottom w:val="0"/>
      <w:divBdr>
        <w:top w:val="none" w:sz="0" w:space="0" w:color="auto"/>
        <w:left w:val="none" w:sz="0" w:space="0" w:color="auto"/>
        <w:bottom w:val="none" w:sz="0" w:space="0" w:color="auto"/>
        <w:right w:val="none" w:sz="0" w:space="0" w:color="auto"/>
      </w:divBdr>
    </w:div>
    <w:div w:id="817306068">
      <w:bodyDiv w:val="1"/>
      <w:marLeft w:val="0"/>
      <w:marRight w:val="0"/>
      <w:marTop w:val="0"/>
      <w:marBottom w:val="0"/>
      <w:divBdr>
        <w:top w:val="none" w:sz="0" w:space="0" w:color="auto"/>
        <w:left w:val="none" w:sz="0" w:space="0" w:color="auto"/>
        <w:bottom w:val="none" w:sz="0" w:space="0" w:color="auto"/>
        <w:right w:val="none" w:sz="0" w:space="0" w:color="auto"/>
      </w:divBdr>
    </w:div>
    <w:div w:id="930770998">
      <w:bodyDiv w:val="1"/>
      <w:marLeft w:val="0"/>
      <w:marRight w:val="0"/>
      <w:marTop w:val="0"/>
      <w:marBottom w:val="0"/>
      <w:divBdr>
        <w:top w:val="none" w:sz="0" w:space="0" w:color="auto"/>
        <w:left w:val="none" w:sz="0" w:space="0" w:color="auto"/>
        <w:bottom w:val="none" w:sz="0" w:space="0" w:color="auto"/>
        <w:right w:val="none" w:sz="0" w:space="0" w:color="auto"/>
      </w:divBdr>
    </w:div>
    <w:div w:id="946699933">
      <w:bodyDiv w:val="1"/>
      <w:marLeft w:val="0"/>
      <w:marRight w:val="0"/>
      <w:marTop w:val="0"/>
      <w:marBottom w:val="0"/>
      <w:divBdr>
        <w:top w:val="none" w:sz="0" w:space="0" w:color="auto"/>
        <w:left w:val="none" w:sz="0" w:space="0" w:color="auto"/>
        <w:bottom w:val="none" w:sz="0" w:space="0" w:color="auto"/>
        <w:right w:val="none" w:sz="0" w:space="0" w:color="auto"/>
      </w:divBdr>
    </w:div>
    <w:div w:id="1004631004">
      <w:bodyDiv w:val="1"/>
      <w:marLeft w:val="0"/>
      <w:marRight w:val="0"/>
      <w:marTop w:val="0"/>
      <w:marBottom w:val="0"/>
      <w:divBdr>
        <w:top w:val="none" w:sz="0" w:space="0" w:color="auto"/>
        <w:left w:val="none" w:sz="0" w:space="0" w:color="auto"/>
        <w:bottom w:val="none" w:sz="0" w:space="0" w:color="auto"/>
        <w:right w:val="none" w:sz="0" w:space="0" w:color="auto"/>
      </w:divBdr>
    </w:div>
    <w:div w:id="1165820599">
      <w:bodyDiv w:val="1"/>
      <w:marLeft w:val="0"/>
      <w:marRight w:val="0"/>
      <w:marTop w:val="0"/>
      <w:marBottom w:val="0"/>
      <w:divBdr>
        <w:top w:val="none" w:sz="0" w:space="0" w:color="auto"/>
        <w:left w:val="none" w:sz="0" w:space="0" w:color="auto"/>
        <w:bottom w:val="none" w:sz="0" w:space="0" w:color="auto"/>
        <w:right w:val="none" w:sz="0" w:space="0" w:color="auto"/>
      </w:divBdr>
    </w:div>
    <w:div w:id="1184631741">
      <w:bodyDiv w:val="1"/>
      <w:marLeft w:val="0"/>
      <w:marRight w:val="0"/>
      <w:marTop w:val="0"/>
      <w:marBottom w:val="0"/>
      <w:divBdr>
        <w:top w:val="none" w:sz="0" w:space="0" w:color="auto"/>
        <w:left w:val="none" w:sz="0" w:space="0" w:color="auto"/>
        <w:bottom w:val="none" w:sz="0" w:space="0" w:color="auto"/>
        <w:right w:val="none" w:sz="0" w:space="0" w:color="auto"/>
      </w:divBdr>
    </w:div>
    <w:div w:id="1299989400">
      <w:bodyDiv w:val="1"/>
      <w:marLeft w:val="0"/>
      <w:marRight w:val="0"/>
      <w:marTop w:val="0"/>
      <w:marBottom w:val="0"/>
      <w:divBdr>
        <w:top w:val="none" w:sz="0" w:space="0" w:color="auto"/>
        <w:left w:val="none" w:sz="0" w:space="0" w:color="auto"/>
        <w:bottom w:val="none" w:sz="0" w:space="0" w:color="auto"/>
        <w:right w:val="none" w:sz="0" w:space="0" w:color="auto"/>
      </w:divBdr>
    </w:div>
    <w:div w:id="1343126481">
      <w:bodyDiv w:val="1"/>
      <w:marLeft w:val="0"/>
      <w:marRight w:val="0"/>
      <w:marTop w:val="0"/>
      <w:marBottom w:val="0"/>
      <w:divBdr>
        <w:top w:val="none" w:sz="0" w:space="0" w:color="auto"/>
        <w:left w:val="none" w:sz="0" w:space="0" w:color="auto"/>
        <w:bottom w:val="none" w:sz="0" w:space="0" w:color="auto"/>
        <w:right w:val="none" w:sz="0" w:space="0" w:color="auto"/>
      </w:divBdr>
      <w:divsChild>
        <w:div w:id="1179858049">
          <w:marLeft w:val="0"/>
          <w:marRight w:val="0"/>
          <w:marTop w:val="0"/>
          <w:marBottom w:val="0"/>
          <w:divBdr>
            <w:top w:val="none" w:sz="0" w:space="0" w:color="auto"/>
            <w:left w:val="none" w:sz="0" w:space="0" w:color="auto"/>
            <w:bottom w:val="none" w:sz="0" w:space="0" w:color="auto"/>
            <w:right w:val="none" w:sz="0" w:space="0" w:color="auto"/>
          </w:divBdr>
          <w:divsChild>
            <w:div w:id="1571041021">
              <w:marLeft w:val="0"/>
              <w:marRight w:val="0"/>
              <w:marTop w:val="0"/>
              <w:marBottom w:val="0"/>
              <w:divBdr>
                <w:top w:val="none" w:sz="0" w:space="0" w:color="auto"/>
                <w:left w:val="none" w:sz="0" w:space="0" w:color="auto"/>
                <w:bottom w:val="none" w:sz="0" w:space="0" w:color="auto"/>
                <w:right w:val="none" w:sz="0" w:space="0" w:color="auto"/>
              </w:divBdr>
              <w:divsChild>
                <w:div w:id="1639871789">
                  <w:marLeft w:val="0"/>
                  <w:marRight w:val="0"/>
                  <w:marTop w:val="0"/>
                  <w:marBottom w:val="0"/>
                  <w:divBdr>
                    <w:top w:val="none" w:sz="0" w:space="0" w:color="auto"/>
                    <w:left w:val="none" w:sz="0" w:space="0" w:color="auto"/>
                    <w:bottom w:val="none" w:sz="0" w:space="0" w:color="auto"/>
                    <w:right w:val="none" w:sz="0" w:space="0" w:color="auto"/>
                  </w:divBdr>
                  <w:divsChild>
                    <w:div w:id="1450661276">
                      <w:marLeft w:val="0"/>
                      <w:marRight w:val="0"/>
                      <w:marTop w:val="0"/>
                      <w:marBottom w:val="0"/>
                      <w:divBdr>
                        <w:top w:val="none" w:sz="0" w:space="0" w:color="auto"/>
                        <w:left w:val="none" w:sz="0" w:space="0" w:color="auto"/>
                        <w:bottom w:val="none" w:sz="0" w:space="0" w:color="auto"/>
                        <w:right w:val="none" w:sz="0" w:space="0" w:color="auto"/>
                      </w:divBdr>
                      <w:divsChild>
                        <w:div w:id="178005377">
                          <w:marLeft w:val="0"/>
                          <w:marRight w:val="0"/>
                          <w:marTop w:val="0"/>
                          <w:marBottom w:val="0"/>
                          <w:divBdr>
                            <w:top w:val="none" w:sz="0" w:space="0" w:color="auto"/>
                            <w:left w:val="none" w:sz="0" w:space="0" w:color="auto"/>
                            <w:bottom w:val="none" w:sz="0" w:space="0" w:color="auto"/>
                            <w:right w:val="none" w:sz="0" w:space="0" w:color="auto"/>
                          </w:divBdr>
                          <w:divsChild>
                            <w:div w:id="212272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3236655">
      <w:bodyDiv w:val="1"/>
      <w:marLeft w:val="0"/>
      <w:marRight w:val="0"/>
      <w:marTop w:val="0"/>
      <w:marBottom w:val="0"/>
      <w:divBdr>
        <w:top w:val="none" w:sz="0" w:space="0" w:color="auto"/>
        <w:left w:val="none" w:sz="0" w:space="0" w:color="auto"/>
        <w:bottom w:val="none" w:sz="0" w:space="0" w:color="auto"/>
        <w:right w:val="none" w:sz="0" w:space="0" w:color="auto"/>
      </w:divBdr>
    </w:div>
    <w:div w:id="1396974877">
      <w:bodyDiv w:val="1"/>
      <w:marLeft w:val="0"/>
      <w:marRight w:val="0"/>
      <w:marTop w:val="0"/>
      <w:marBottom w:val="0"/>
      <w:divBdr>
        <w:top w:val="none" w:sz="0" w:space="0" w:color="auto"/>
        <w:left w:val="none" w:sz="0" w:space="0" w:color="auto"/>
        <w:bottom w:val="none" w:sz="0" w:space="0" w:color="auto"/>
        <w:right w:val="none" w:sz="0" w:space="0" w:color="auto"/>
      </w:divBdr>
    </w:div>
    <w:div w:id="1436942755">
      <w:bodyDiv w:val="1"/>
      <w:marLeft w:val="0"/>
      <w:marRight w:val="0"/>
      <w:marTop w:val="0"/>
      <w:marBottom w:val="0"/>
      <w:divBdr>
        <w:top w:val="none" w:sz="0" w:space="0" w:color="auto"/>
        <w:left w:val="none" w:sz="0" w:space="0" w:color="auto"/>
        <w:bottom w:val="none" w:sz="0" w:space="0" w:color="auto"/>
        <w:right w:val="none" w:sz="0" w:space="0" w:color="auto"/>
      </w:divBdr>
    </w:div>
    <w:div w:id="1440292964">
      <w:bodyDiv w:val="1"/>
      <w:marLeft w:val="0"/>
      <w:marRight w:val="0"/>
      <w:marTop w:val="0"/>
      <w:marBottom w:val="0"/>
      <w:divBdr>
        <w:top w:val="none" w:sz="0" w:space="0" w:color="auto"/>
        <w:left w:val="none" w:sz="0" w:space="0" w:color="auto"/>
        <w:bottom w:val="none" w:sz="0" w:space="0" w:color="auto"/>
        <w:right w:val="none" w:sz="0" w:space="0" w:color="auto"/>
      </w:divBdr>
    </w:div>
    <w:div w:id="1701199846">
      <w:bodyDiv w:val="1"/>
      <w:marLeft w:val="0"/>
      <w:marRight w:val="0"/>
      <w:marTop w:val="0"/>
      <w:marBottom w:val="0"/>
      <w:divBdr>
        <w:top w:val="none" w:sz="0" w:space="0" w:color="auto"/>
        <w:left w:val="none" w:sz="0" w:space="0" w:color="auto"/>
        <w:bottom w:val="none" w:sz="0" w:space="0" w:color="auto"/>
        <w:right w:val="none" w:sz="0" w:space="0" w:color="auto"/>
      </w:divBdr>
    </w:div>
    <w:div w:id="1729188895">
      <w:bodyDiv w:val="1"/>
      <w:marLeft w:val="0"/>
      <w:marRight w:val="0"/>
      <w:marTop w:val="0"/>
      <w:marBottom w:val="0"/>
      <w:divBdr>
        <w:top w:val="none" w:sz="0" w:space="0" w:color="auto"/>
        <w:left w:val="none" w:sz="0" w:space="0" w:color="auto"/>
        <w:bottom w:val="none" w:sz="0" w:space="0" w:color="auto"/>
        <w:right w:val="none" w:sz="0" w:space="0" w:color="auto"/>
      </w:divBdr>
    </w:div>
    <w:div w:id="1805538599">
      <w:bodyDiv w:val="1"/>
      <w:marLeft w:val="0"/>
      <w:marRight w:val="0"/>
      <w:marTop w:val="0"/>
      <w:marBottom w:val="0"/>
      <w:divBdr>
        <w:top w:val="none" w:sz="0" w:space="0" w:color="auto"/>
        <w:left w:val="none" w:sz="0" w:space="0" w:color="auto"/>
        <w:bottom w:val="none" w:sz="0" w:space="0" w:color="auto"/>
        <w:right w:val="none" w:sz="0" w:space="0" w:color="auto"/>
      </w:divBdr>
    </w:div>
    <w:div w:id="1830755412">
      <w:bodyDiv w:val="1"/>
      <w:marLeft w:val="0"/>
      <w:marRight w:val="0"/>
      <w:marTop w:val="0"/>
      <w:marBottom w:val="0"/>
      <w:divBdr>
        <w:top w:val="none" w:sz="0" w:space="0" w:color="auto"/>
        <w:left w:val="none" w:sz="0" w:space="0" w:color="auto"/>
        <w:bottom w:val="none" w:sz="0" w:space="0" w:color="auto"/>
        <w:right w:val="none" w:sz="0" w:space="0" w:color="auto"/>
      </w:divBdr>
    </w:div>
    <w:div w:id="1864857476">
      <w:bodyDiv w:val="1"/>
      <w:marLeft w:val="0"/>
      <w:marRight w:val="0"/>
      <w:marTop w:val="0"/>
      <w:marBottom w:val="0"/>
      <w:divBdr>
        <w:top w:val="none" w:sz="0" w:space="0" w:color="auto"/>
        <w:left w:val="none" w:sz="0" w:space="0" w:color="auto"/>
        <w:bottom w:val="none" w:sz="0" w:space="0" w:color="auto"/>
        <w:right w:val="none" w:sz="0" w:space="0" w:color="auto"/>
      </w:divBdr>
    </w:div>
    <w:div w:id="1878472604">
      <w:bodyDiv w:val="1"/>
      <w:marLeft w:val="0"/>
      <w:marRight w:val="0"/>
      <w:marTop w:val="0"/>
      <w:marBottom w:val="0"/>
      <w:divBdr>
        <w:top w:val="none" w:sz="0" w:space="0" w:color="auto"/>
        <w:left w:val="none" w:sz="0" w:space="0" w:color="auto"/>
        <w:bottom w:val="none" w:sz="0" w:space="0" w:color="auto"/>
        <w:right w:val="none" w:sz="0" w:space="0" w:color="auto"/>
      </w:divBdr>
    </w:div>
    <w:div w:id="1903905624">
      <w:bodyDiv w:val="1"/>
      <w:marLeft w:val="0"/>
      <w:marRight w:val="0"/>
      <w:marTop w:val="0"/>
      <w:marBottom w:val="0"/>
      <w:divBdr>
        <w:top w:val="none" w:sz="0" w:space="0" w:color="auto"/>
        <w:left w:val="none" w:sz="0" w:space="0" w:color="auto"/>
        <w:bottom w:val="none" w:sz="0" w:space="0" w:color="auto"/>
        <w:right w:val="none" w:sz="0" w:space="0" w:color="auto"/>
      </w:divBdr>
    </w:div>
    <w:div w:id="1913808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1666</TotalTime>
  <Pages>13</Pages>
  <Words>3935</Words>
  <Characters>22430</Characters>
  <Application>Microsoft Office Word</Application>
  <DocSecurity>0</DocSecurity>
  <Lines>186</Lines>
  <Paragraphs>52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Honghyun Kim</dc:creator>
  <cp:keywords/>
  <dc:description/>
  <cp:lastModifiedBy>Honghyun Kim</cp:lastModifiedBy>
  <cp:revision>626</cp:revision>
  <dcterms:created xsi:type="dcterms:W3CDTF">2024-11-05T06:24:00Z</dcterms:created>
  <dcterms:modified xsi:type="dcterms:W3CDTF">2024-11-12T19:09:00Z</dcterms:modified>
</cp:coreProperties>
</file>