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SỔ TAY CHÍNH SÁCH NỘI BỘ</w:t>
      </w:r>
    </w:p>
    <w:p>
      <w:pPr>
        <w:jc w:val="center"/>
      </w:pPr>
      <w:r>
        <w:rPr>
          <w:i/>
          <w:sz w:val="20"/>
        </w:rPr>
        <w:t>Dành cho toàn bộ nhân viên  |  Phiên bản 2.1, hiệu lực từ 01/07/2026  |  Đơn vị quản lý: Phòng Hành chính - Nhân sự</w:t>
      </w:r>
    </w:p>
    <w:p>
      <w:pPr>
        <w:pStyle w:val="Heading1"/>
      </w:pPr>
      <w:r>
        <w:t>Mục 1. Hướng dẫn sử dụng Sổ tay</w:t>
      </w:r>
    </w:p>
    <w:p>
      <w:pPr>
        <w:jc w:val="both"/>
      </w:pPr>
      <w:r>
        <w:rPr>
          <w:i w:val="0"/>
        </w:rPr>
        <w:t>Sổ tay tổng hợp các chính sách nội bộ thường dùng: thời gian làm việc, nghỉ phép, làm việc từ xa, công tác phí, mua sắm, thẩm quyền phê duyệt, đào tạo, bảo mật và phúc lợi. Trường hợp có khác biệt giữa Sổ tay và văn bản gốc, áp dụng văn bản gốc. Câu hỏi ngoài phạm vi Sổ tay, nhân viên liên hệ Phòng Hành chính - Nhân sự qua hộp thư hr.policy@company.example.</w:t>
      </w:r>
    </w:p>
    <w:p>
      <w:pPr>
        <w:pStyle w:val="Heading1"/>
      </w:pPr>
      <w:r>
        <w:t>Mục 2. Thời gian làm việc và nghỉ phép</w:t>
      </w:r>
    </w:p>
    <w:p>
      <w:pPr>
        <w:pStyle w:val="Heading2"/>
      </w:pPr>
      <w:r>
        <w:t>2.1. Thời gian làm việc</w:t>
      </w:r>
    </w:p>
    <w:p>
      <w:pPr>
        <w:pStyle w:val="ListBullet"/>
      </w:pPr>
      <w:r>
        <w:t>Từ thứ Hai đến thứ Sáu, 8 giờ 30 đến 17 giờ 30, nghỉ trưa 1 giờ. Nhân viên được linh hoạt giờ bắt đầu từ 7 giờ 30 đến 9 giờ 30, bảo đảm đủ 8 giờ/ngày.</w:t>
      </w:r>
    </w:p>
    <w:p>
      <w:pPr>
        <w:pStyle w:val="ListBullet"/>
      </w:pPr>
      <w:r>
        <w:t>Làm thêm giờ phải được quản lý trực tiếp phê duyệt trước trên hệ thống; tối đa 40 giờ/tháng theo quy định pháp luật.</w:t>
      </w:r>
    </w:p>
    <w:p>
      <w:pPr>
        <w:pStyle w:val="Heading2"/>
      </w:pPr>
      <w:r>
        <w:t>2.2. Nghỉ phép năm</w:t>
      </w:r>
    </w:p>
    <w:tbl>
      <w:tblPr>
        <w:tblStyle w:val="TableGrid"/>
        <w:tblW w:type="auto" w:w="0"/>
        <w:jc w:val="center"/>
        <w:tblLook w:firstColumn="1" w:firstRow="1" w:lastColumn="0" w:lastRow="0" w:noHBand="0" w:noVBand="1" w:val="04A0"/>
      </w:tblPr>
      <w:tblGrid>
        <w:gridCol w:w="4706"/>
        <w:gridCol w:w="4706"/>
      </w:tblGrid>
      <w:tr>
        <w:tc>
          <w:tcPr>
            <w:tcW w:type="dxa" w:w="4535"/>
            <w:shd w:val="clear" w:color="auto" w:fill="0B3D5C"/>
          </w:tcPr>
          <w:p>
            <w:r/>
            <w:r>
              <w:rPr>
                <w:b/>
                <w:color w:val="FFFFFF"/>
                <w:sz w:val="20"/>
              </w:rPr>
              <w:t>Thâm niên làm việc tại Công ty</w:t>
            </w:r>
          </w:p>
        </w:tc>
        <w:tc>
          <w:tcPr>
            <w:tcW w:type="dxa" w:w="4535"/>
            <w:shd w:val="clear" w:color="auto" w:fill="0B3D5C"/>
          </w:tcPr>
          <w:p>
            <w:r/>
            <w:r>
              <w:rPr>
                <w:b/>
                <w:color w:val="FFFFFF"/>
                <w:sz w:val="20"/>
              </w:rPr>
              <w:t>Số ngày phép năm</w:t>
            </w:r>
          </w:p>
        </w:tc>
      </w:tr>
      <w:tr>
        <w:tc>
          <w:tcPr>
            <w:tcW w:type="dxa" w:w="4535"/>
          </w:tcPr>
          <w:p>
            <w:r/>
            <w:r>
              <w:rPr>
                <w:sz w:val="20"/>
              </w:rPr>
              <w:t>Dưới 5 năm</w:t>
            </w:r>
          </w:p>
        </w:tc>
        <w:tc>
          <w:tcPr>
            <w:tcW w:type="dxa" w:w="4535"/>
          </w:tcPr>
          <w:p>
            <w:r/>
            <w:r>
              <w:rPr>
                <w:sz w:val="20"/>
              </w:rPr>
              <w:t>14 ngày (12 ngày theo luật + 2 ngày Công ty tặng thêm)</w:t>
            </w:r>
          </w:p>
        </w:tc>
      </w:tr>
      <w:tr>
        <w:tc>
          <w:tcPr>
            <w:tcW w:type="dxa" w:w="4535"/>
          </w:tcPr>
          <w:p>
            <w:r/>
            <w:r>
              <w:rPr>
                <w:sz w:val="20"/>
              </w:rPr>
              <w:t>Từ 5 năm đến dưới 10 năm</w:t>
            </w:r>
          </w:p>
        </w:tc>
        <w:tc>
          <w:tcPr>
            <w:tcW w:type="dxa" w:w="4535"/>
          </w:tcPr>
          <w:p>
            <w:r/>
            <w:r>
              <w:rPr>
                <w:sz w:val="20"/>
              </w:rPr>
              <w:t>15 ngày</w:t>
            </w:r>
          </w:p>
        </w:tc>
      </w:tr>
      <w:tr>
        <w:tc>
          <w:tcPr>
            <w:tcW w:type="dxa" w:w="4535"/>
          </w:tcPr>
          <w:p>
            <w:r/>
            <w:r>
              <w:rPr>
                <w:sz w:val="20"/>
              </w:rPr>
              <w:t>Từ 10 năm trở lên</w:t>
            </w:r>
          </w:p>
        </w:tc>
        <w:tc>
          <w:tcPr>
            <w:tcW w:type="dxa" w:w="4535"/>
          </w:tcPr>
          <w:p>
            <w:r/>
            <w:r>
              <w:rPr>
                <w:sz w:val="20"/>
              </w:rPr>
              <w:t>16 ngày</w:t>
            </w:r>
          </w:p>
        </w:tc>
      </w:tr>
    </w:tbl>
    <w:p/>
    <w:p>
      <w:pPr>
        <w:pStyle w:val="ListBullet"/>
      </w:pPr>
      <w:r>
        <w:t>Đăng ký nghỉ phép trên hệ thống trước ít nhất 03 ngày làm việc; nghỉ liên tục từ 05 ngày trở lên phải đăng ký trước 02 tuần.</w:t>
      </w:r>
    </w:p>
    <w:p>
      <w:pPr>
        <w:pStyle w:val="ListBullet"/>
      </w:pPr>
      <w:r>
        <w:t>Ngày phép chưa dùng hết được chuyển sang năm sau tối đa 05 ngày và phải sử dụng trước ngày 31/03; quá hạn không được thanh toán.</w:t>
      </w:r>
    </w:p>
    <w:p>
      <w:pPr>
        <w:pStyle w:val="ListBullet"/>
      </w:pPr>
      <w:r>
        <w:t>Nghỉ ốm: nộp giấy xác nhận của cơ sở y tế trong 03 ngày làm việc sau khi đi làm lại.</w:t>
      </w:r>
    </w:p>
    <w:p>
      <w:pPr>
        <w:pStyle w:val="Heading1"/>
      </w:pPr>
      <w:r>
        <w:t>Mục 3. Làm việc từ xa</w:t>
      </w:r>
    </w:p>
    <w:p>
      <w:pPr>
        <w:pStyle w:val="ListBullet"/>
      </w:pPr>
      <w:r>
        <w:t>Nhân viên đã qua thời gian thử việc được làm việc từ xa tối đa 02 ngày/tuần, do quản lý trực tiếp phê duyệt.</w:t>
      </w:r>
    </w:p>
    <w:p>
      <w:pPr>
        <w:pStyle w:val="ListBullet"/>
      </w:pPr>
      <w:r>
        <w:t>Khi làm việc từ xa phải dùng laptop do Công ty cấp, kết nối VPN; không xử lý tài liệu Mật ở nơi công cộng.</w:t>
      </w:r>
    </w:p>
    <w:p>
      <w:pPr>
        <w:pStyle w:val="ListBullet"/>
      </w:pPr>
      <w:r>
        <w:t>Nhân viên phải có mặt trực tuyến trong khung giờ 9 giờ 30 đến 16 giờ và tham gia đầy đủ các cuộc họp đã lên lịch.</w:t>
      </w:r>
    </w:p>
    <w:p>
      <w:pPr>
        <w:pStyle w:val="Heading1"/>
      </w:pPr>
      <w:r>
        <w:t>Mục 4. Công tác phí trong nước</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0B3D5C"/>
          </w:tcPr>
          <w:p>
            <w:r/>
            <w:r>
              <w:rPr>
                <w:b/>
                <w:color w:val="FFFFFF"/>
                <w:sz w:val="20"/>
              </w:rPr>
              <w:t>Hạng mục</w:t>
            </w:r>
          </w:p>
        </w:tc>
        <w:tc>
          <w:tcPr>
            <w:tcW w:type="dxa" w:w="2551"/>
            <w:shd w:val="clear" w:color="auto" w:fill="0B3D5C"/>
          </w:tcPr>
          <w:p>
            <w:r/>
            <w:r>
              <w:rPr>
                <w:b/>
                <w:color w:val="FFFFFF"/>
                <w:sz w:val="20"/>
              </w:rPr>
              <w:t>Nhân viên, Chuyên viên</w:t>
            </w:r>
          </w:p>
        </w:tc>
        <w:tc>
          <w:tcPr>
            <w:tcW w:type="dxa" w:w="1984"/>
            <w:shd w:val="clear" w:color="auto" w:fill="0B3D5C"/>
          </w:tcPr>
          <w:p>
            <w:r/>
            <w:r>
              <w:rPr>
                <w:b/>
                <w:color w:val="FFFFFF"/>
                <w:sz w:val="20"/>
              </w:rPr>
              <w:t>Trưởng, Phó phòng</w:t>
            </w:r>
          </w:p>
        </w:tc>
        <w:tc>
          <w:tcPr>
            <w:tcW w:type="dxa" w:w="2268"/>
            <w:shd w:val="clear" w:color="auto" w:fill="0B3D5C"/>
          </w:tcPr>
          <w:p>
            <w:r/>
            <w:r>
              <w:rPr>
                <w:b/>
                <w:color w:val="FFFFFF"/>
                <w:sz w:val="20"/>
              </w:rPr>
              <w:t>Ban Giám đốc</w:t>
            </w:r>
          </w:p>
        </w:tc>
      </w:tr>
      <w:tr>
        <w:tc>
          <w:tcPr>
            <w:tcW w:type="dxa" w:w="2268"/>
          </w:tcPr>
          <w:p>
            <w:r/>
            <w:r>
              <w:rPr>
                <w:sz w:val="20"/>
              </w:rPr>
              <w:t>Khách sạn, tối đa mỗi đêm</w:t>
            </w:r>
          </w:p>
        </w:tc>
        <w:tc>
          <w:tcPr>
            <w:tcW w:type="dxa" w:w="2551"/>
          </w:tcPr>
          <w:p>
            <w:r/>
            <w:r>
              <w:rPr>
                <w:sz w:val="20"/>
              </w:rPr>
              <w:t>1,2 triệu đồng (Hà Nội, TP. HCM: 1,5 triệu)</w:t>
            </w:r>
          </w:p>
        </w:tc>
        <w:tc>
          <w:tcPr>
            <w:tcW w:type="dxa" w:w="1984"/>
          </w:tcPr>
          <w:p>
            <w:r/>
            <w:r>
              <w:rPr>
                <w:sz w:val="20"/>
              </w:rPr>
              <w:t>1,8 triệu đồng</w:t>
            </w:r>
          </w:p>
        </w:tc>
        <w:tc>
          <w:tcPr>
            <w:tcW w:type="dxa" w:w="2268"/>
          </w:tcPr>
          <w:p>
            <w:r/>
            <w:r>
              <w:rPr>
                <w:sz w:val="20"/>
              </w:rPr>
              <w:t>3 triệu đồng</w:t>
            </w:r>
          </w:p>
        </w:tc>
      </w:tr>
      <w:tr>
        <w:tc>
          <w:tcPr>
            <w:tcW w:type="dxa" w:w="2268"/>
          </w:tcPr>
          <w:p>
            <w:r/>
            <w:r>
              <w:rPr>
                <w:sz w:val="20"/>
              </w:rPr>
              <w:t>Phụ cấp ăn, mỗi ngày công tác</w:t>
            </w:r>
          </w:p>
        </w:tc>
        <w:tc>
          <w:tcPr>
            <w:tcW w:type="dxa" w:w="2551"/>
          </w:tcPr>
          <w:p>
            <w:r/>
            <w:r>
              <w:rPr>
                <w:sz w:val="20"/>
              </w:rPr>
              <w:t>250.000 đồng</w:t>
            </w:r>
          </w:p>
        </w:tc>
        <w:tc>
          <w:tcPr>
            <w:tcW w:type="dxa" w:w="1984"/>
          </w:tcPr>
          <w:p>
            <w:r/>
            <w:r>
              <w:rPr>
                <w:sz w:val="20"/>
              </w:rPr>
              <w:t>350.000 đồng</w:t>
            </w:r>
          </w:p>
        </w:tc>
        <w:tc>
          <w:tcPr>
            <w:tcW w:type="dxa" w:w="2268"/>
          </w:tcPr>
          <w:p>
            <w:r/>
            <w:r>
              <w:rPr>
                <w:sz w:val="20"/>
              </w:rPr>
              <w:t>500.000 đồng</w:t>
            </w:r>
          </w:p>
        </w:tc>
      </w:tr>
      <w:tr>
        <w:tc>
          <w:tcPr>
            <w:tcW w:type="dxa" w:w="2268"/>
          </w:tcPr>
          <w:p>
            <w:r/>
            <w:r>
              <w:rPr>
                <w:sz w:val="20"/>
              </w:rPr>
              <w:t>Vé máy bay</w:t>
            </w:r>
          </w:p>
        </w:tc>
        <w:tc>
          <w:tcPr>
            <w:tcW w:type="dxa" w:w="2551"/>
          </w:tcPr>
          <w:p>
            <w:r/>
            <w:r>
              <w:rPr>
                <w:sz w:val="20"/>
              </w:rPr>
              <w:t>Hạng phổ thông</w:t>
            </w:r>
          </w:p>
        </w:tc>
        <w:tc>
          <w:tcPr>
            <w:tcW w:type="dxa" w:w="1984"/>
          </w:tcPr>
          <w:p>
            <w:r/>
            <w:r>
              <w:rPr>
                <w:sz w:val="20"/>
              </w:rPr>
              <w:t>Hạng phổ thông</w:t>
            </w:r>
          </w:p>
        </w:tc>
        <w:tc>
          <w:tcPr>
            <w:tcW w:type="dxa" w:w="2268"/>
          </w:tcPr>
          <w:p>
            <w:r/>
            <w:r>
              <w:rPr>
                <w:sz w:val="20"/>
              </w:rPr>
              <w:t>Hạng thương gia nếu chuyến bay trên 3 giờ</w:t>
            </w:r>
          </w:p>
        </w:tc>
      </w:tr>
      <w:tr>
        <w:tc>
          <w:tcPr>
            <w:tcW w:type="dxa" w:w="2268"/>
          </w:tcPr>
          <w:p>
            <w:r/>
            <w:r>
              <w:rPr>
                <w:sz w:val="20"/>
              </w:rPr>
              <w:t>Di chuyển nội thành</w:t>
            </w:r>
          </w:p>
        </w:tc>
        <w:tc>
          <w:tcPr>
            <w:tcW w:type="dxa" w:w="2551"/>
          </w:tcPr>
          <w:p>
            <w:r/>
            <w:r>
              <w:rPr>
                <w:sz w:val="20"/>
              </w:rPr>
              <w:t>Taxi, xe công nghệ theo thực tế</w:t>
            </w:r>
          </w:p>
        </w:tc>
        <w:tc>
          <w:tcPr>
            <w:tcW w:type="dxa" w:w="1984"/>
          </w:tcPr>
          <w:p>
            <w:r/>
            <w:r>
              <w:rPr>
                <w:sz w:val="20"/>
              </w:rPr>
              <w:t>Taxi, xe công nghệ theo thực tế</w:t>
            </w:r>
          </w:p>
        </w:tc>
        <w:tc>
          <w:tcPr>
            <w:tcW w:type="dxa" w:w="2268"/>
          </w:tcPr>
          <w:p>
            <w:r/>
            <w:r>
              <w:rPr>
                <w:sz w:val="20"/>
              </w:rPr>
              <w:t>Xe Công ty</w:t>
            </w:r>
          </w:p>
        </w:tc>
      </w:tr>
    </w:tbl>
    <w:p/>
    <w:p>
      <w:pPr>
        <w:pStyle w:val="ListBullet"/>
      </w:pPr>
      <w:r>
        <w:t>Chuyến công tác phải được quản lý trực tiếp phê duyệt trên hệ thống trước khi đặt vé.</w:t>
      </w:r>
    </w:p>
    <w:p>
      <w:pPr>
        <w:pStyle w:val="ListBullet"/>
      </w:pPr>
      <w:r>
        <w:t>Quyết toán trong 10 ngày làm việc sau khi kết thúc chuyến đi, kèm hóa đơn hợp lệ ghi tên Công ty.</w:t>
      </w:r>
    </w:p>
    <w:p>
      <w:pPr>
        <w:pStyle w:val="ListBullet"/>
      </w:pPr>
      <w:r>
        <w:t>Chi phí vượt định mức do nhân viên tự chi trả, trừ khi được Giám đốc khối phê duyệt trước bằng văn bản.</w:t>
      </w:r>
    </w:p>
    <w:p>
      <w:pPr>
        <w:pStyle w:val="Heading1"/>
      </w:pPr>
      <w:r>
        <w:t>Mục 5. Mua sắm, hợp đồng và thẩm quyền phê duyệt</w:t>
      </w:r>
    </w:p>
    <w:p>
      <w:pPr>
        <w:pStyle w:val="Heading2"/>
      </w:pPr>
      <w:r>
        <w:t>5.1. Thẩm quyền phê duyệt theo giá trị</w:t>
      </w:r>
    </w:p>
    <w:tbl>
      <w:tblPr>
        <w:tblStyle w:val="TableGrid"/>
        <w:tblW w:type="auto" w:w="0"/>
        <w:jc w:val="center"/>
        <w:tblLook w:firstColumn="1" w:firstRow="1" w:lastColumn="0" w:lastRow="0" w:noHBand="0" w:noVBand="1" w:val="04A0"/>
      </w:tblPr>
      <w:tblGrid>
        <w:gridCol w:w="3137"/>
        <w:gridCol w:w="3137"/>
        <w:gridCol w:w="3137"/>
      </w:tblGrid>
      <w:tr>
        <w:tc>
          <w:tcPr>
            <w:tcW w:type="dxa" w:w="3402"/>
            <w:shd w:val="clear" w:color="auto" w:fill="0B3D5C"/>
          </w:tcPr>
          <w:p>
            <w:r/>
            <w:r>
              <w:rPr>
                <w:b/>
                <w:color w:val="FFFFFF"/>
                <w:sz w:val="20"/>
              </w:rPr>
              <w:t>Giá trị mua sắm, hợp đồng (chưa VAT)</w:t>
            </w:r>
          </w:p>
        </w:tc>
        <w:tc>
          <w:tcPr>
            <w:tcW w:type="dxa" w:w="3969"/>
            <w:shd w:val="clear" w:color="auto" w:fill="0B3D5C"/>
          </w:tcPr>
          <w:p>
            <w:r/>
            <w:r>
              <w:rPr>
                <w:b/>
                <w:color w:val="FFFFFF"/>
                <w:sz w:val="20"/>
              </w:rPr>
              <w:t>Cấp phê duyệt</w:t>
            </w:r>
          </w:p>
        </w:tc>
        <w:tc>
          <w:tcPr>
            <w:tcW w:type="dxa" w:w="1701"/>
            <w:shd w:val="clear" w:color="auto" w:fill="0B3D5C"/>
          </w:tcPr>
          <w:p>
            <w:r/>
            <w:r>
              <w:rPr>
                <w:b/>
                <w:color w:val="FFFFFF"/>
                <w:sz w:val="20"/>
              </w:rPr>
              <w:t>Số báo giá tối thiểu</w:t>
            </w:r>
          </w:p>
        </w:tc>
      </w:tr>
      <w:tr>
        <w:tc>
          <w:tcPr>
            <w:tcW w:type="dxa" w:w="3402"/>
          </w:tcPr>
          <w:p>
            <w:r/>
            <w:r>
              <w:rPr>
                <w:sz w:val="20"/>
              </w:rPr>
              <w:t>Đến 50 triệu đồng</w:t>
            </w:r>
          </w:p>
        </w:tc>
        <w:tc>
          <w:tcPr>
            <w:tcW w:type="dxa" w:w="3969"/>
          </w:tcPr>
          <w:p>
            <w:r/>
            <w:r>
              <w:rPr>
                <w:sz w:val="20"/>
              </w:rPr>
              <w:t>Trưởng phòng</w:t>
            </w:r>
          </w:p>
        </w:tc>
        <w:tc>
          <w:tcPr>
            <w:tcW w:type="dxa" w:w="1701"/>
          </w:tcPr>
          <w:p>
            <w:r/>
            <w:r>
              <w:rPr>
                <w:sz w:val="20"/>
              </w:rPr>
              <w:t>01</w:t>
            </w:r>
          </w:p>
        </w:tc>
      </w:tr>
      <w:tr>
        <w:tc>
          <w:tcPr>
            <w:tcW w:type="dxa" w:w="3402"/>
          </w:tcPr>
          <w:p>
            <w:r/>
            <w:r>
              <w:rPr>
                <w:sz w:val="20"/>
              </w:rPr>
              <w:t>Trên 50 triệu đến 500 triệu đồng</w:t>
            </w:r>
          </w:p>
        </w:tc>
        <w:tc>
          <w:tcPr>
            <w:tcW w:type="dxa" w:w="3969"/>
          </w:tcPr>
          <w:p>
            <w:r/>
            <w:r>
              <w:rPr>
                <w:sz w:val="20"/>
              </w:rPr>
              <w:t>Giám đốc khối</w:t>
            </w:r>
          </w:p>
        </w:tc>
        <w:tc>
          <w:tcPr>
            <w:tcW w:type="dxa" w:w="1701"/>
          </w:tcPr>
          <w:p>
            <w:r/>
            <w:r>
              <w:rPr>
                <w:sz w:val="20"/>
              </w:rPr>
              <w:t>02</w:t>
            </w:r>
          </w:p>
        </w:tc>
      </w:tr>
      <w:tr>
        <w:tc>
          <w:tcPr>
            <w:tcW w:type="dxa" w:w="3402"/>
          </w:tcPr>
          <w:p>
            <w:r/>
            <w:r>
              <w:rPr>
                <w:sz w:val="20"/>
              </w:rPr>
              <w:t>Trên 500 triệu đến 2 tỷ đồng</w:t>
            </w:r>
          </w:p>
        </w:tc>
        <w:tc>
          <w:tcPr>
            <w:tcW w:type="dxa" w:w="3969"/>
          </w:tcPr>
          <w:p>
            <w:r/>
            <w:r>
              <w:rPr>
                <w:sz w:val="20"/>
              </w:rPr>
              <w:t>Giám đốc Tài chính</w:t>
            </w:r>
          </w:p>
        </w:tc>
        <w:tc>
          <w:tcPr>
            <w:tcW w:type="dxa" w:w="1701"/>
          </w:tcPr>
          <w:p>
            <w:r/>
            <w:r>
              <w:rPr>
                <w:sz w:val="20"/>
              </w:rPr>
              <w:t>03</w:t>
            </w:r>
          </w:p>
        </w:tc>
      </w:tr>
      <w:tr>
        <w:tc>
          <w:tcPr>
            <w:tcW w:type="dxa" w:w="3402"/>
          </w:tcPr>
          <w:p>
            <w:r/>
            <w:r>
              <w:rPr>
                <w:sz w:val="20"/>
              </w:rPr>
              <w:t>Trên 2 tỷ đồng</w:t>
            </w:r>
          </w:p>
        </w:tc>
        <w:tc>
          <w:tcPr>
            <w:tcW w:type="dxa" w:w="3969"/>
          </w:tcPr>
          <w:p>
            <w:r/>
            <w:r>
              <w:rPr>
                <w:sz w:val="20"/>
              </w:rPr>
              <w:t>Tổng Giám đốc, sau khi Phòng Pháp chế rà soát hợp đồng</w:t>
            </w:r>
          </w:p>
        </w:tc>
        <w:tc>
          <w:tcPr>
            <w:tcW w:type="dxa" w:w="1701"/>
          </w:tcPr>
          <w:p>
            <w:r/>
            <w:r>
              <w:rPr>
                <w:sz w:val="20"/>
              </w:rPr>
              <w:t>03</w:t>
            </w:r>
          </w:p>
        </w:tc>
      </w:tr>
    </w:tbl>
    <w:p/>
    <w:p>
      <w:pPr>
        <w:pStyle w:val="Heading2"/>
      </w:pPr>
      <w:r>
        <w:t>5.2. Tạm ứng và thanh toán cho nhà cung cấp</w:t>
      </w:r>
    </w:p>
    <w:p>
      <w:pPr>
        <w:pStyle w:val="ListBullet"/>
      </w:pPr>
      <w:r>
        <w:t>Tạm ứng tối đa 30% giá trị hợp đồng. Tạm ứng trên 30% là ngoại lệ, cần Giám đốc Tài chính phê duyệt và nhà cung cấp có bảo lãnh tạm ứng của ngân hàng.</w:t>
      </w:r>
    </w:p>
    <w:p>
      <w:pPr>
        <w:pStyle w:val="ListBullet"/>
      </w:pPr>
      <w:r>
        <w:t>Thanh toán trong 30 ngày kể từ ngày nghiệm thu và nhận đủ hóa đơn hợp lệ. Thanh toán sớm hơn cần Kế toán trưởng đồng ý.</w:t>
      </w:r>
    </w:p>
    <w:p>
      <w:pPr>
        <w:pStyle w:val="ListBullet"/>
      </w:pPr>
      <w:r>
        <w:t>Không tách nhỏ một nhu cầu mua sắm thành nhiều hợp đồng để tránh thẩm quyền phê duyệt.</w:t>
      </w:r>
    </w:p>
    <w:p>
      <w:pPr>
        <w:pStyle w:val="Heading2"/>
      </w:pPr>
      <w:r>
        <w:t>5.3. Điều khoản bắt buộc trong hợp đồng với nhà cung cấp</w:t>
      </w:r>
    </w:p>
    <w:p>
      <w:pPr>
        <w:pStyle w:val="ListBullet"/>
      </w:pPr>
      <w:r>
        <w:t>Mọi chi phí phát sinh ngoài báo giá phải được Công ty chấp thuận bằng văn bản trước khi thực hiện.</w:t>
      </w:r>
    </w:p>
    <w:p>
      <w:pPr>
        <w:pStyle w:val="ListBullet"/>
      </w:pPr>
      <w:r>
        <w:t>Phí hủy hoặc đổi lịch trên 30% giá trị hợp đồng phải được Phòng Pháp chế rà soát trước khi ký.</w:t>
      </w:r>
    </w:p>
    <w:p>
      <w:pPr>
        <w:pStyle w:val="ListBullet"/>
      </w:pPr>
      <w:r>
        <w:t>Có điều khoản phạt vi phạm khi nhà cung cấp chậm tiến độ hoặc không đạt chất lượng; mức phạt đề xuất 8% giá trị phần nghĩa vụ bị vi phạm (mức tối đa theo Luật Thương mại).</w:t>
      </w:r>
    </w:p>
    <w:p>
      <w:pPr>
        <w:pStyle w:val="ListBullet"/>
      </w:pPr>
      <w:r>
        <w:t>Nhà cung cấp xử lý dữ liệu cá nhân của nhân viên hoặc khách hàng phải ký điều khoản xử lý dữ liệu cá nhân theo Mục 7.3.</w:t>
      </w:r>
    </w:p>
    <w:p>
      <w:pPr>
        <w:pStyle w:val="Heading1"/>
      </w:pPr>
      <w:r>
        <w:t>Mục 6. Đào tạo và phát triển</w:t>
      </w:r>
    </w:p>
    <w:tbl>
      <w:tblPr>
        <w:tblStyle w:val="TableGrid"/>
        <w:tblW w:type="auto" w:w="0"/>
        <w:jc w:val="center"/>
        <w:tblLook w:firstColumn="1" w:firstRow="1" w:lastColumn="0" w:lastRow="0" w:noHBand="0" w:noVBand="1" w:val="04A0"/>
      </w:tblPr>
      <w:tblGrid>
        <w:gridCol w:w="4706"/>
        <w:gridCol w:w="4706"/>
      </w:tblGrid>
      <w:tr>
        <w:tc>
          <w:tcPr>
            <w:tcW w:type="dxa" w:w="4535"/>
            <w:shd w:val="clear" w:color="auto" w:fill="0B3D5C"/>
          </w:tcPr>
          <w:p>
            <w:r/>
            <w:r>
              <w:rPr>
                <w:b/>
                <w:color w:val="FFFFFF"/>
                <w:sz w:val="20"/>
              </w:rPr>
              <w:t>Cấp bậc</w:t>
            </w:r>
          </w:p>
        </w:tc>
        <w:tc>
          <w:tcPr>
            <w:tcW w:type="dxa" w:w="4535"/>
            <w:shd w:val="clear" w:color="auto" w:fill="0B3D5C"/>
          </w:tcPr>
          <w:p>
            <w:r/>
            <w:r>
              <w:rPr>
                <w:b/>
                <w:color w:val="FFFFFF"/>
                <w:sz w:val="20"/>
              </w:rPr>
              <w:t>Ngân sách đào tạo / người / năm</w:t>
            </w:r>
          </w:p>
        </w:tc>
      </w:tr>
      <w:tr>
        <w:tc>
          <w:tcPr>
            <w:tcW w:type="dxa" w:w="4535"/>
          </w:tcPr>
          <w:p>
            <w:r/>
            <w:r>
              <w:rPr>
                <w:sz w:val="20"/>
              </w:rPr>
              <w:t>Nhân viên, Chuyên viên</w:t>
            </w:r>
          </w:p>
        </w:tc>
        <w:tc>
          <w:tcPr>
            <w:tcW w:type="dxa" w:w="4535"/>
          </w:tcPr>
          <w:p>
            <w:r/>
            <w:r>
              <w:rPr>
                <w:sz w:val="20"/>
              </w:rPr>
              <w:t>6 triệu đồng</w:t>
            </w:r>
          </w:p>
        </w:tc>
      </w:tr>
      <w:tr>
        <w:tc>
          <w:tcPr>
            <w:tcW w:type="dxa" w:w="4535"/>
          </w:tcPr>
          <w:p>
            <w:r/>
            <w:r>
              <w:rPr>
                <w:sz w:val="20"/>
              </w:rPr>
              <w:t>Trưởng nhóm, Trưởng phòng</w:t>
            </w:r>
          </w:p>
        </w:tc>
        <w:tc>
          <w:tcPr>
            <w:tcW w:type="dxa" w:w="4535"/>
          </w:tcPr>
          <w:p>
            <w:r/>
            <w:r>
              <w:rPr>
                <w:sz w:val="20"/>
              </w:rPr>
              <w:t>10 triệu đồng</w:t>
            </w:r>
          </w:p>
        </w:tc>
      </w:tr>
      <w:tr>
        <w:tc>
          <w:tcPr>
            <w:tcW w:type="dxa" w:w="4535"/>
          </w:tcPr>
          <w:p>
            <w:r/>
            <w:r>
              <w:rPr>
                <w:sz w:val="20"/>
              </w:rPr>
              <w:t>Ban Giám đốc</w:t>
            </w:r>
          </w:p>
        </w:tc>
        <w:tc>
          <w:tcPr>
            <w:tcW w:type="dxa" w:w="4535"/>
          </w:tcPr>
          <w:p>
            <w:r/>
            <w:r>
              <w:rPr>
                <w:sz w:val="20"/>
              </w:rPr>
              <w:t>20 triệu đồng</w:t>
            </w:r>
          </w:p>
        </w:tc>
      </w:tr>
    </w:tbl>
    <w:p/>
    <w:p>
      <w:pPr>
        <w:pStyle w:val="ListBullet"/>
      </w:pPr>
      <w:r>
        <w:t>Đăng ký khóa học bên ngoài trên hệ thống, được quản lý trực tiếp và Phòng Nhân sự phê duyệt.</w:t>
      </w:r>
    </w:p>
    <w:p>
      <w:pPr>
        <w:pStyle w:val="ListBullet"/>
      </w:pPr>
      <w:r>
        <w:t>Khóa học có chi phí trên 30 triệu đồng: nhân viên cam kết làm việc tối thiểu 12 tháng sau khi hoàn thành.</w:t>
      </w:r>
    </w:p>
    <w:p>
      <w:pPr>
        <w:pStyle w:val="ListBullet"/>
      </w:pPr>
      <w:r>
        <w:t>Chứng chỉ chuyên môn liên quan đến công việc được hoàn 100% lệ phí thi nếu đạt.</w:t>
      </w:r>
    </w:p>
    <w:p>
      <w:pPr>
        <w:pStyle w:val="Heading1"/>
      </w:pPr>
      <w:r>
        <w:t>Mục 7. Bảo mật thông tin và sử dụng AI</w:t>
      </w:r>
    </w:p>
    <w:p>
      <w:pPr>
        <w:pStyle w:val="Heading2"/>
      </w:pPr>
      <w:r>
        <w:t>7.1. Phân loại thông tin</w:t>
      </w:r>
    </w:p>
    <w:p>
      <w:pPr>
        <w:pStyle w:val="ListBullet"/>
      </w:pPr>
      <w:r>
        <w:t>Công khai - Nội bộ - Mật - Tuyệt mật. Tài liệu Mật và Tuyệt mật phải gắn nhãn phân loại trước khi chia sẻ.</w:t>
      </w:r>
    </w:p>
    <w:p>
      <w:pPr>
        <w:pStyle w:val="ListBullet"/>
      </w:pPr>
      <w:r>
        <w:t>Hợp đồng, báo giá, dữ liệu khách hàng và dữ liệu cá nhân của nhân viên thuộc loại Mật.</w:t>
      </w:r>
    </w:p>
    <w:p>
      <w:pPr>
        <w:pStyle w:val="Heading2"/>
      </w:pPr>
      <w:r>
        <w:t>7.2. Sử dụng AI</w:t>
      </w:r>
    </w:p>
    <w:p>
      <w:pPr>
        <w:pStyle w:val="ListBullet"/>
      </w:pPr>
      <w:r>
        <w:t>Chỉ dùng Microsoft 365 Copilot, Copilot Chat và agent trong môi trường Microsoft 365 của Công ty.</w:t>
      </w:r>
    </w:p>
    <w:p>
      <w:pPr>
        <w:pStyle w:val="ListBullet"/>
      </w:pPr>
      <w:r>
        <w:t>Không nhập số CCCD, hộ chiếu, số tài khoản ngân hàng, mật khẩu, thông tin lương cá nhân vào prompt.</w:t>
      </w:r>
    </w:p>
    <w:p>
      <w:pPr>
        <w:pStyle w:val="ListBullet"/>
      </w:pPr>
      <w:r>
        <w:t>Nội dung do AI tạo phải được người dùng kiểm tra trước khi gửi; AI không thay người có thẩm quyền ra quyết định.</w:t>
      </w:r>
    </w:p>
    <w:p>
      <w:pPr>
        <w:pStyle w:val="Heading2"/>
      </w:pPr>
      <w:r>
        <w:t>7.3. Chia sẻ dữ liệu cá nhân cho nhà cung cấp</w:t>
      </w:r>
    </w:p>
    <w:p>
      <w:pPr>
        <w:pStyle w:val="ListBullet"/>
      </w:pPr>
      <w:r>
        <w:t>Chỉ chia sẻ dữ liệu tối thiểu cần thiết cho mục đích của hợp đồng (ví dụ: họ tên và email công việc để gửi thư mời).</w:t>
      </w:r>
    </w:p>
    <w:p>
      <w:pPr>
        <w:pStyle w:val="ListBullet"/>
      </w:pPr>
      <w:r>
        <w:t>Không chia sẻ ngày sinh, số điện thoại cá nhân, email cá nhân khi không thật sự cần thiết; nếu cần phải có sự đồng ý của nhân viên.</w:t>
      </w:r>
    </w:p>
    <w:p>
      <w:pPr>
        <w:pStyle w:val="ListBullet"/>
      </w:pPr>
      <w:r>
        <w:t>Nhà cung cấp chỉ được dùng hình ảnh của nhân viên cho mục đích quảng bá khi có sự đồng ý bằng văn bản của Công ty và nhân viên.</w:t>
      </w:r>
    </w:p>
    <w:p>
      <w:pPr>
        <w:pStyle w:val="Heading1"/>
      </w:pPr>
      <w:r>
        <w:t>Mục 8. Thiết bị và hỗ trợ CNTT</w:t>
      </w:r>
    </w:p>
    <w:p>
      <w:pPr>
        <w:pStyle w:val="ListBullet"/>
      </w:pPr>
      <w:r>
        <w:t>Laptop được cấp mới sau 04 năm sử dụng hoặc khi hỏng không sửa được.</w:t>
      </w:r>
    </w:p>
    <w:p>
      <w:pPr>
        <w:pStyle w:val="ListBullet"/>
      </w:pPr>
      <w:r>
        <w:t>Mất thiết bị hoặc nghi ngờ lộ mật khẩu: báo Phòng Công nghệ Thông tin qua hotline nội bộ 1900 trong vòng 02 giờ.</w:t>
      </w:r>
    </w:p>
    <w:p>
      <w:pPr>
        <w:pStyle w:val="ListBullet"/>
      </w:pPr>
      <w:r>
        <w:t>Phần mềm ngoài danh mục chuẩn phải được Phòng Công nghệ Thông tin phê duyệt trước khi cài đặt.</w:t>
      </w:r>
    </w:p>
    <w:p>
      <w:pPr>
        <w:pStyle w:val="Heading1"/>
      </w:pPr>
      <w:r>
        <w:t>Mục 9. Phúc lợi</w:t>
      </w:r>
    </w:p>
    <w:p>
      <w:pPr>
        <w:pStyle w:val="ListBullet"/>
      </w:pPr>
      <w:r>
        <w:t>Khám sức khỏe định kỳ hằng năm và bảo hiểm sức khỏe cho nhân viên chính thức.</w:t>
      </w:r>
    </w:p>
    <w:p>
      <w:pPr>
        <w:pStyle w:val="ListBullet"/>
      </w:pPr>
      <w:r>
        <w:t>Thưởng giới thiệu ứng viên: 5 triệu đồng cho vị trí nhân viên, 10 triệu đồng cho vị trí quản lý, chi trả khi ứng viên qua thử việc.</w:t>
      </w:r>
    </w:p>
    <w:p>
      <w:pPr>
        <w:pStyle w:val="ListBullet"/>
      </w:pPr>
      <w:r>
        <w:t>Quà sinh nhật, hỗ trợ hiếu hỉ và hoạt động gắn kết theo quy chế của Công đoàn.</w:t>
      </w:r>
    </w:p>
    <w:p>
      <w:pPr>
        <w:pStyle w:val="Heading1"/>
      </w:pPr>
      <w:r>
        <w:t>Mục 10. Đầu mối liên hệ</w:t>
      </w:r>
    </w:p>
    <w:tbl>
      <w:tblPr>
        <w:tblStyle w:val="TableGrid"/>
        <w:tblW w:type="auto" w:w="0"/>
        <w:jc w:val="center"/>
        <w:tblLook w:firstColumn="1" w:firstRow="1" w:lastColumn="0" w:lastRow="0" w:noHBand="0" w:noVBand="1" w:val="04A0"/>
      </w:tblPr>
      <w:tblGrid>
        <w:gridCol w:w="4706"/>
        <w:gridCol w:w="4706"/>
      </w:tblGrid>
      <w:tr>
        <w:tc>
          <w:tcPr>
            <w:tcW w:type="dxa" w:w="4535"/>
            <w:shd w:val="clear" w:color="auto" w:fill="0B3D5C"/>
          </w:tcPr>
          <w:p>
            <w:r/>
            <w:r>
              <w:rPr>
                <w:b/>
                <w:color w:val="FFFFFF"/>
                <w:sz w:val="20"/>
              </w:rPr>
              <w:t>Nội dung</w:t>
            </w:r>
          </w:p>
        </w:tc>
        <w:tc>
          <w:tcPr>
            <w:tcW w:type="dxa" w:w="4535"/>
            <w:shd w:val="clear" w:color="auto" w:fill="0B3D5C"/>
          </w:tcPr>
          <w:p>
            <w:r/>
            <w:r>
              <w:rPr>
                <w:b/>
                <w:color w:val="FFFFFF"/>
                <w:sz w:val="20"/>
              </w:rPr>
              <w:t>Đơn vị</w:t>
            </w:r>
          </w:p>
        </w:tc>
      </w:tr>
      <w:tr>
        <w:tc>
          <w:tcPr>
            <w:tcW w:type="dxa" w:w="4535"/>
          </w:tcPr>
          <w:p>
            <w:r/>
            <w:r>
              <w:rPr>
                <w:sz w:val="20"/>
              </w:rPr>
              <w:t>Nghỉ phép, làm việc từ xa, phúc lợi, đào tạo</w:t>
            </w:r>
          </w:p>
        </w:tc>
        <w:tc>
          <w:tcPr>
            <w:tcW w:type="dxa" w:w="4535"/>
          </w:tcPr>
          <w:p>
            <w:r/>
            <w:r>
              <w:rPr>
                <w:sz w:val="20"/>
              </w:rPr>
              <w:t>Phòng Hành chính - Nhân sự</w:t>
            </w:r>
          </w:p>
        </w:tc>
      </w:tr>
      <w:tr>
        <w:tc>
          <w:tcPr>
            <w:tcW w:type="dxa" w:w="4535"/>
          </w:tcPr>
          <w:p>
            <w:r/>
            <w:r>
              <w:rPr>
                <w:sz w:val="20"/>
              </w:rPr>
              <w:t>Công tác phí, tạm ứng, thanh toán</w:t>
            </w:r>
          </w:p>
        </w:tc>
        <w:tc>
          <w:tcPr>
            <w:tcW w:type="dxa" w:w="4535"/>
          </w:tcPr>
          <w:p>
            <w:r/>
            <w:r>
              <w:rPr>
                <w:sz w:val="20"/>
              </w:rPr>
              <w:t>Phòng Tài chính - Kế toán</w:t>
            </w:r>
          </w:p>
        </w:tc>
      </w:tr>
      <w:tr>
        <w:tc>
          <w:tcPr>
            <w:tcW w:type="dxa" w:w="4535"/>
          </w:tcPr>
          <w:p>
            <w:r/>
            <w:r>
              <w:rPr>
                <w:sz w:val="20"/>
              </w:rPr>
              <w:t>Hợp đồng, mua sắm</w:t>
            </w:r>
          </w:p>
        </w:tc>
        <w:tc>
          <w:tcPr>
            <w:tcW w:type="dxa" w:w="4535"/>
          </w:tcPr>
          <w:p>
            <w:r/>
            <w:r>
              <w:rPr>
                <w:sz w:val="20"/>
              </w:rPr>
              <w:t>Phòng Pháp chế, Bộ phận Mua sắm</w:t>
            </w:r>
          </w:p>
        </w:tc>
      </w:tr>
      <w:tr>
        <w:tc>
          <w:tcPr>
            <w:tcW w:type="dxa" w:w="4535"/>
          </w:tcPr>
          <w:p>
            <w:r/>
            <w:r>
              <w:rPr>
                <w:sz w:val="20"/>
              </w:rPr>
              <w:t>Thiết bị, tài khoản, bảo mật</w:t>
            </w:r>
          </w:p>
        </w:tc>
        <w:tc>
          <w:tcPr>
            <w:tcW w:type="dxa" w:w="4535"/>
          </w:tcPr>
          <w:p>
            <w:r/>
            <w:r>
              <w:rPr>
                <w:sz w:val="20"/>
              </w:rPr>
              <w:t>Phòng Công nghệ Thông tin</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Tài liệu nháp (draft) dùng cho mục đích đào tạo. Tên nhân vật, khách hàng, đối tác và số liệu là giả định. Phiên bản 2.1 - hiệu lực từ 01/07/2026.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