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HỢP ĐỒNG CUNG CẤP DỊCH VỤ TỔ CHỨC SỰ KIỆN</w:t>
      </w:r>
    </w:p>
    <w:p>
      <w:pPr>
        <w:jc w:val="center"/>
      </w:pPr>
      <w:r>
        <w:rPr>
          <w:i/>
          <w:sz w:val="20"/>
        </w:rPr>
        <w:t>Số: 1026/2026/HĐDV-LK  |  Dự thảo v0.2 ngày 12/10/2026  |  Lưu hành nội bộ</w:t>
      </w:r>
    </w:p>
    <w:p>
      <w:pPr>
        <w:jc w:val="both"/>
      </w:pPr>
      <w:r>
        <w:rPr>
          <w:i w:val="0"/>
        </w:rPr>
        <w:t>Hợp đồng này ("Hợp đồng") được lập giữa:</w:t>
      </w:r>
    </w:p>
    <w:p>
      <w:pPr>
        <w:pStyle w:val="ListBullet"/>
      </w:pPr>
      <w:r>
        <w:rPr>
          <w:b/>
        </w:rPr>
        <w:t xml:space="preserve">Bên A - Bên sử dụng dịch vụ ("Công ty"): </w:t>
      </w:r>
      <w:r>
        <w:t>trụ sở tại TP. Hồ Chí Minh; đại diện bởi Bà Lê Thu Hà, Giám đốc Hành chính - Nhân sự.</w:t>
      </w:r>
    </w:p>
    <w:p>
      <w:pPr>
        <w:pStyle w:val="ListBullet"/>
      </w:pPr>
      <w:r>
        <w:rPr>
          <w:b/>
        </w:rPr>
        <w:t xml:space="preserve">Bên B - Công ty TNHH Sự kiện Lam Kiều ("Lam Kiều"): </w:t>
      </w:r>
      <w:r>
        <w:t>trụ sở tại TP. Thủ Đức, TP. Hồ Chí Minh; đại diện bởi Ông Phan Đức Minh, Giám đốc.</w:t>
      </w:r>
    </w:p>
    <w:p>
      <w:pPr>
        <w:pStyle w:val="Heading1"/>
      </w:pPr>
      <w:r>
        <w:t>Điều 1. Định nghĩa</w:t>
      </w:r>
    </w:p>
    <w:p>
      <w:pPr/>
      <w:r>
        <w:rPr>
          <w:b/>
        </w:rPr>
        <w:t xml:space="preserve">1.1. Sự kiện: </w:t>
      </w:r>
      <w:r>
        <w:t>gồm Sự kiện 1 - Tiệc tất niên 2026 cho khoảng 650 nhân viên, tổ chức ngày 16/01/2027 tại TP. Hồ Chí Minh; và Sự kiện 2 - Hội nghị Khách hàng 2027 cho khoảng 250 khách mời, tổ chức ngày 12/03/2027 tại Hà Nội.</w:t>
      </w:r>
    </w:p>
    <w:p>
      <w:pPr/>
      <w:r>
        <w:rPr>
          <w:b/>
        </w:rPr>
        <w:t xml:space="preserve">1.2. Kịch bản: </w:t>
      </w:r>
      <w:r>
        <w:t>tài liệu mô tả chương trình, thời lượng, nhân sự, âm thanh ánh sáng, thực đơn và trang trí của từng Sự kiện, được hai bên ký xác nhận trước ngày tổ chức ít nhất 20 ngày.</w:t>
      </w:r>
    </w:p>
    <w:p>
      <w:pPr/>
      <w:r>
        <w:rPr>
          <w:b/>
        </w:rPr>
        <w:t xml:space="preserve">1.3. Nghiệm thu: </w:t>
      </w:r>
      <w:r>
        <w:t>việc Bên A xác nhận bằng văn bản Bên B đã hoàn thành Sự kiện theo Kịch bản.</w:t>
      </w:r>
    </w:p>
    <w:p>
      <w:pPr/>
      <w:r>
        <w:rPr>
          <w:b/>
        </w:rPr>
        <w:t xml:space="preserve">1.4. Chi phí phát sinh: </w:t>
      </w:r>
      <w:r>
        <w:t>chi phí ngoài báo giá đã duyệt, phát sinh do thay đổi số lượng khách, thực đơn hoặc hạng mục.</w:t>
      </w:r>
    </w:p>
    <w:p>
      <w:pPr>
        <w:pStyle w:val="Heading1"/>
      </w:pPr>
      <w:r>
        <w:t>Điều 2. Phạm vi dịch vụ</w:t>
      </w:r>
    </w:p>
    <w:p>
      <w:pPr/>
      <w:r>
        <w:t>2.1. Tư vấn ý tưởng, xây dựng Kịch bản và thiết kế nhận diện cho từng Sự kiện.</w:t>
      </w:r>
    </w:p>
    <w:p>
      <w:pPr/>
      <w:r>
        <w:t>2.2. Thuê địa điểm, âm thanh, ánh sáng, màn hình LED, MC, ca sĩ và tiết mục biểu diễn.</w:t>
      </w:r>
    </w:p>
    <w:p>
      <w:pPr/>
      <w:r>
        <w:t>2.3. Tiệc buffet (Sự kiện 1) và tiệc trà, ăn trưa (Sự kiện 2) theo thực đơn được Bên A duyệt.</w:t>
      </w:r>
    </w:p>
    <w:p>
      <w:pPr/>
      <w:r>
        <w:t>2.4. Gửi thư mời điện tử, quản lý đăng ký và check-in khách mời; tổ chức bốc thăm trúng thưởng tại Sự kiện 1.</w:t>
      </w:r>
    </w:p>
    <w:p>
      <w:pPr/>
      <w:r>
        <w:t>2.5. Chụp ảnh, quay phim và bàn giao tư liệu trong 07 ngày sau mỗi Sự kiện.</w:t>
      </w:r>
    </w:p>
    <w:p>
      <w:pPr>
        <w:pStyle w:val="Heading1"/>
      </w:pPr>
      <w:r>
        <w:t>Điều 3. Giá trị hợp đồng</w:t>
      </w:r>
    </w:p>
    <w:tbl>
      <w:tblPr>
        <w:tblStyle w:val="TableGrid"/>
        <w:tblW w:type="auto" w:w="0"/>
        <w:jc w:val="center"/>
        <w:tblLook w:firstColumn="1" w:firstRow="1" w:lastColumn="0" w:lastRow="0" w:noHBand="0" w:noVBand="1" w:val="04A0"/>
      </w:tblPr>
      <w:tblGrid>
        <w:gridCol w:w="4706"/>
        <w:gridCol w:w="4706"/>
      </w:tblGrid>
      <w:tr>
        <w:tc>
          <w:tcPr>
            <w:tcW w:type="dxa" w:w="5669"/>
            <w:shd w:val="clear" w:color="auto" w:fill="0B3D5C"/>
          </w:tcPr>
          <w:p>
            <w:r/>
            <w:r>
              <w:rPr>
                <w:b/>
                <w:color w:val="FFFFFF"/>
                <w:sz w:val="20"/>
              </w:rPr>
              <w:t>Hạng mục</w:t>
            </w:r>
          </w:p>
        </w:tc>
        <w:tc>
          <w:tcPr>
            <w:tcW w:type="dxa" w:w="3402"/>
            <w:shd w:val="clear" w:color="auto" w:fill="0B3D5C"/>
          </w:tcPr>
          <w:p>
            <w:r/>
            <w:r>
              <w:rPr>
                <w:b/>
                <w:color w:val="FFFFFF"/>
                <w:sz w:val="20"/>
              </w:rPr>
              <w:t>Giá trị (chưa VAT)</w:t>
            </w:r>
          </w:p>
        </w:tc>
      </w:tr>
      <w:tr>
        <w:tc>
          <w:tcPr>
            <w:tcW w:type="dxa" w:w="5669"/>
          </w:tcPr>
          <w:p>
            <w:r/>
            <w:r>
              <w:rPr>
                <w:sz w:val="20"/>
              </w:rPr>
              <w:t>Sự kiện 1 - Tiệc tất niên 2026 (650 khách)</w:t>
            </w:r>
          </w:p>
        </w:tc>
        <w:tc>
          <w:tcPr>
            <w:tcW w:type="dxa" w:w="3402"/>
          </w:tcPr>
          <w:p>
            <w:r/>
            <w:r>
              <w:rPr>
                <w:sz w:val="20"/>
              </w:rPr>
              <w:t>1.480.000.000 đồng</w:t>
            </w:r>
          </w:p>
        </w:tc>
      </w:tr>
      <w:tr>
        <w:tc>
          <w:tcPr>
            <w:tcW w:type="dxa" w:w="5669"/>
          </w:tcPr>
          <w:p>
            <w:r/>
            <w:r>
              <w:rPr>
                <w:sz w:val="20"/>
              </w:rPr>
              <w:t>Sự kiện 2 - Hội nghị Khách hàng 2027 (250 khách)</w:t>
            </w:r>
          </w:p>
        </w:tc>
        <w:tc>
          <w:tcPr>
            <w:tcW w:type="dxa" w:w="3402"/>
          </w:tcPr>
          <w:p>
            <w:r/>
            <w:r>
              <w:rPr>
                <w:sz w:val="20"/>
              </w:rPr>
              <w:t>870.000.000 đồng</w:t>
            </w:r>
          </w:p>
        </w:tc>
      </w:tr>
      <w:tr>
        <w:tc>
          <w:tcPr>
            <w:tcW w:type="dxa" w:w="5669"/>
          </w:tcPr>
          <w:p>
            <w:r/>
            <w:r>
              <w:rPr>
                <w:sz w:val="20"/>
              </w:rPr>
              <w:t>Tổng giá trị hợp đồng</w:t>
            </w:r>
          </w:p>
        </w:tc>
        <w:tc>
          <w:tcPr>
            <w:tcW w:type="dxa" w:w="3402"/>
          </w:tcPr>
          <w:p>
            <w:r/>
            <w:r>
              <w:rPr>
                <w:sz w:val="20"/>
              </w:rPr>
              <w:t>2.350.000.000 đồng</w:t>
            </w:r>
          </w:p>
        </w:tc>
      </w:tr>
    </w:tbl>
    <w:p/>
    <w:p>
      <w:pPr>
        <w:jc w:val="both"/>
      </w:pPr>
      <w:r>
        <w:rPr>
          <w:i w:val="0"/>
        </w:rPr>
        <w:t>Giá trị trên đã bao gồm toàn bộ chi phí nhân sự, vận chuyển, thiết bị và thuế, phí liên quan (trừ thuế GTGT).</w:t>
      </w:r>
    </w:p>
    <w:p>
      <w:pPr>
        <w:pStyle w:val="Heading1"/>
      </w:pPr>
      <w:r>
        <w:t>Điều 4. Quyền và nghĩa vụ của Bên B</w:t>
      </w:r>
    </w:p>
    <w:p>
      <w:pPr/>
      <w:r>
        <w:t>4.1. Thực hiện Sự kiện đúng Kịch bản, đúng thời gian, bảo đảm an toàn cho người tham dự.</w:t>
      </w:r>
    </w:p>
    <w:p>
      <w:pPr/>
      <w:r>
        <w:t>4.2. Bố trí 01 quản lý dự án làm đầu mối duy nhất, có mặt tại các buổi họp chuẩn bị theo yêu cầu của Bên A.</w:t>
      </w:r>
    </w:p>
    <w:p>
      <w:pPr/>
      <w:r>
        <w:t>4.3. Mua bảo hiểm cho nhân sự và thiết bị của Bên B trong thời gian thực hiện Sự kiện.</w:t>
      </w:r>
    </w:p>
    <w:p>
      <w:pPr/>
      <w:r>
        <w:t>4.4. Chịu trách nhiệm với nhà cung cấp phụ do Bên B thuê.</w:t>
      </w:r>
    </w:p>
    <w:p>
      <w:pPr>
        <w:pStyle w:val="Heading1"/>
      </w:pPr>
      <w:r>
        <w:t>Điều 5. Quyền và nghĩa vụ của Bên A</w:t>
      </w:r>
    </w:p>
    <w:p>
      <w:pPr/>
      <w:r>
        <w:t>5.1. Cung cấp thông tin khách mời, nhận diện thương hiệu và duyệt Kịch bản đúng hạn.</w:t>
      </w:r>
    </w:p>
    <w:p>
      <w:pPr/>
      <w:r>
        <w:t>5.2. Cử 01 đầu mối phối hợp và phê duyệt thay đổi trong quá trình chuẩn bị.</w:t>
      </w:r>
    </w:p>
    <w:p>
      <w:pPr/>
      <w:r>
        <w:t>5.3. Thanh toán theo Điều 8 sau khi nhận đủ hồ sơ thanh toán hợp lệ.</w:t>
      </w:r>
    </w:p>
    <w:p>
      <w:pPr>
        <w:pStyle w:val="Heading1"/>
      </w:pPr>
      <w:r>
        <w:t>Điều 6. Bảo mật thông tin</w:t>
      </w:r>
    </w:p>
    <w:p>
      <w:pPr>
        <w:jc w:val="both"/>
      </w:pPr>
      <w:r>
        <w:rPr>
          <w:i w:val="0"/>
        </w:rPr>
        <w:t>6.1. Bên B bảo mật mọi thông tin nhận được từ Bên A, chỉ sử dụng cho mục đích thực hiện Hợp đồng và không chuyển cho bên thứ ba.</w:t>
      </w:r>
    </w:p>
    <w:p>
      <w:pPr>
        <w:jc w:val="both"/>
      </w:pPr>
      <w:r>
        <w:rPr>
          <w:i w:val="0"/>
        </w:rPr>
        <w:t>6.2. Việc xử lý dữ liệu cá nhân của nhân viên và khách mời của Bên A tuân thủ pháp luật về bảo vệ dữ liệu cá nhân.</w:t>
      </w:r>
    </w:p>
    <w:p>
      <w:pPr>
        <w:pStyle w:val="Heading1"/>
      </w:pPr>
      <w:r>
        <w:t>Điều 7. Nghiệm thu</w:t>
      </w:r>
    </w:p>
    <w:p>
      <w:pPr>
        <w:jc w:val="both"/>
      </w:pPr>
      <w:r>
        <w:rPr>
          <w:i w:val="0"/>
        </w:rPr>
        <w:t>Trong 03 ngày làm việc sau mỗi Sự kiện, hai bên ký biên bản nghiệm thu. Bên A có quyền ghi nhận các hạng mục không đạt để làm căn cứ giảm trừ thanh toán.</w:t>
      </w:r>
    </w:p>
    <w:p>
      <w:pPr>
        <w:spacing w:before="280"/>
      </w:pPr>
      <w:r>
        <w:rPr>
          <w:b/>
          <w:color w:val="C05000"/>
        </w:rPr>
        <w:t>GHI CHÚ CỦA NGƯỜI SOẠN THẢO - Nội dung đã thống nhất tại buổi làm việc ngày 08/10/2026, cần đưa vào Điều 8 và Điều 9:</w:t>
      </w:r>
    </w:p>
    <w:p>
      <w:pPr/>
      <w:r>
        <w:t>Thanh toán: tạm ứng 50% giá trị hợp đồng (1.175.000.000 đồng) trong 03 ngày làm việc sau khi ký; phần còn lại thanh toán trong 05 ngày làm việc sau mỗi Sự kiện.</w:t>
      </w:r>
    </w:p>
    <w:p>
      <w:pPr/>
      <w:r>
        <w:t>Chi phí phát sinh: Bên B được chủ động quyết định chi phí phát sinh đến 10% giá trị mỗi Sự kiện, Bên A thanh toán theo thực tế.</w:t>
      </w:r>
    </w:p>
    <w:p>
      <w:pPr/>
      <w:r>
        <w:t>Hủy, đổi lịch: Bên A hủy trước ngày tổ chức từ 30 ngày trở lên chịu 50% giá trị Sự kiện; hủy trong vòng 15 ngày chịu 100%.</w:t>
      </w:r>
    </w:p>
    <w:p>
      <w:pPr/>
      <w:r>
        <w:t>Phạt vi phạm: nếu Bên B chậm tiến độ hoặc thực hiện sai Kịch bản, Bên B chịu phạt 5% giá trị Sự kiện đó. Mức bồi thường thiệt hại tối đa chưa thống nhất.</w:t>
      </w:r>
    </w:p>
    <w:p>
      <w:pPr/>
      <w:r>
        <w:t>Dữ liệu khách mời: Bên A gửi danh sách 650 nhân viên gồm họ tên, số điện thoại, ngày sinh và email cá nhân để Bên B gửi thư mời và tổ chức bốc thăm. Bên B được sử dụng hình ảnh, video Sự kiện cho mục đích giới thiệu năng lực của Bên B.</w:t>
      </w:r>
    </w:p>
    <w:p>
      <w:pPr/>
      <w:r>
        <w:t>Báo giá: đã nhận 02 báo giá (Lam Kiều 2,35 tỷ đồng; một đơn vị khác 2,60 tỷ đồng). Đơn vị thứ ba chưa gửi báo giá.</w:t>
      </w:r>
    </w:p>
    <w:p>
      <w:pPr/>
      <w:r>
        <w:t>Chưa chốt: bảo hiểm trách nhiệm công cộng cho Sự kiện 1 (tổ chức ngoài trời) và phương án dự phòng khi thời tiết xấu.</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Tài liệu nháp (draft) dùng cho mục đích đào tạo. Tên nhân vật, khách hàng, đối tác và số liệu là giả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