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5C"/>
          <w:sz w:val="34"/>
        </w:rPr>
        <w:t>CHƯƠNG TRÌNH ĐẶC QUYỀN KHÁCH HÀNG EXCLUSIVE 2027</w:t>
      </w:r>
    </w:p>
    <w:p>
      <w:pPr>
        <w:jc w:val="center"/>
      </w:pPr>
      <w:r>
        <w:rPr>
          <w:i/>
          <w:sz w:val="20"/>
        </w:rPr>
        <w:t>Dự thảo trình Ban Điều hành  |  Khối Khách hàng Ưu tiên  |  Đơn vị soạn thảo: Phòng Phát triển Khách hàng Ưu tiên</w:t>
      </w:r>
    </w:p>
    <w:p>
      <w:pPr>
        <w:pStyle w:val="Heading1"/>
      </w:pPr>
      <w:r>
        <w:t>1. Bối cảnh</w:t>
      </w:r>
    </w:p>
    <w:p>
      <w:pPr>
        <w:jc w:val="both"/>
      </w:pPr>
      <w:r>
        <w:rPr>
          <w:i w:val="0"/>
        </w:rPr>
        <w:t>Sau 9 tháng 2026, tệp khách hàng Exclusive đạt 19.240 khách hàng và AUM 98.500 tỷ đồng, thấp hơn kế hoạch lần lượt 1,8% và 2,5%. Tỷ lệ CASA giảm còn 16,5%, thấp hơn đáng kể so với nhóm ngân hàng cùng quy mô (khoảng 24,5%). Thu phí phụ thuộc lớn vào bancassurance (52% tổng phí) trong khi quy định về bán chéo bảo hiểm ngày càng chặt chẽ. Khảo sát khách hàng quý 3 cho thấy khách hàng đánh giá cao RM nhưng chưa thấy khác biệt rõ giữa các hạng thành viên.</w:t>
      </w:r>
    </w:p>
    <w:p>
      <w:pPr>
        <w:pStyle w:val="Heading1"/>
      </w:pPr>
      <w:r>
        <w:t>2. Mục tiêu đến 31/12/2027</w:t>
      </w:r>
    </w:p>
    <w:tbl>
      <w:tblPr>
        <w:tblStyle w:val="TableGrid"/>
        <w:tblW w:type="auto" w:w="0"/>
        <w:jc w:val="center"/>
        <w:tblLook w:firstColumn="1" w:firstRow="1" w:lastColumn="0" w:lastRow="0" w:noHBand="0" w:noVBand="1" w:val="04A0"/>
      </w:tblPr>
      <w:tblGrid>
        <w:gridCol w:w="3137"/>
        <w:gridCol w:w="3137"/>
        <w:gridCol w:w="3137"/>
      </w:tblGrid>
      <w:tr>
        <w:tc>
          <w:tcPr>
            <w:tcW w:type="dxa" w:w="4819"/>
            <w:shd w:val="clear" w:color="auto" w:fill="0B3D5C"/>
          </w:tcPr>
          <w:p>
            <w:r/>
            <w:r>
              <w:rPr>
                <w:b/>
                <w:color w:val="FFFFFF"/>
                <w:sz w:val="20"/>
              </w:rPr>
              <w:t>Chỉ tiêu</w:t>
            </w:r>
          </w:p>
        </w:tc>
        <w:tc>
          <w:tcPr>
            <w:tcW w:type="dxa" w:w="1984"/>
            <w:shd w:val="clear" w:color="auto" w:fill="0B3D5C"/>
          </w:tcPr>
          <w:p>
            <w:r/>
            <w:r>
              <w:rPr>
                <w:b/>
                <w:color w:val="FFFFFF"/>
                <w:sz w:val="20"/>
              </w:rPr>
              <w:t>30/09/2026</w:t>
            </w:r>
          </w:p>
        </w:tc>
        <w:tc>
          <w:tcPr>
            <w:tcW w:type="dxa" w:w="1984"/>
            <w:shd w:val="clear" w:color="auto" w:fill="0B3D5C"/>
          </w:tcPr>
          <w:p>
            <w:r/>
            <w:r>
              <w:rPr>
                <w:b/>
                <w:color w:val="FFFFFF"/>
                <w:sz w:val="20"/>
              </w:rPr>
              <w:t>Mục tiêu 2027</w:t>
            </w:r>
          </w:p>
        </w:tc>
      </w:tr>
      <w:tr>
        <w:tc>
          <w:tcPr>
            <w:tcW w:type="dxa" w:w="4819"/>
          </w:tcPr>
          <w:p>
            <w:r/>
            <w:r>
              <w:rPr>
                <w:sz w:val="20"/>
              </w:rPr>
              <w:t>Số khách hàng Exclusive</w:t>
            </w:r>
          </w:p>
        </w:tc>
        <w:tc>
          <w:tcPr>
            <w:tcW w:type="dxa" w:w="1984"/>
          </w:tcPr>
          <w:p>
            <w:r/>
            <w:r>
              <w:rPr>
                <w:sz w:val="20"/>
              </w:rPr>
              <w:t>19.240</w:t>
            </w:r>
          </w:p>
        </w:tc>
        <w:tc>
          <w:tcPr>
            <w:tcW w:type="dxa" w:w="1984"/>
          </w:tcPr>
          <w:p>
            <w:r/>
            <w:r>
              <w:rPr>
                <w:sz w:val="20"/>
              </w:rPr>
              <w:t>23.000</w:t>
            </w:r>
          </w:p>
        </w:tc>
      </w:tr>
      <w:tr>
        <w:tc>
          <w:tcPr>
            <w:tcW w:type="dxa" w:w="4819"/>
          </w:tcPr>
          <w:p>
            <w:r/>
            <w:r>
              <w:rPr>
                <w:sz w:val="20"/>
              </w:rPr>
              <w:t>AUM (tỷ đồng)</w:t>
            </w:r>
          </w:p>
        </w:tc>
        <w:tc>
          <w:tcPr>
            <w:tcW w:type="dxa" w:w="1984"/>
          </w:tcPr>
          <w:p>
            <w:r/>
            <w:r>
              <w:rPr>
                <w:sz w:val="20"/>
              </w:rPr>
              <w:t>98.500</w:t>
            </w:r>
          </w:p>
        </w:tc>
        <w:tc>
          <w:tcPr>
            <w:tcW w:type="dxa" w:w="1984"/>
          </w:tcPr>
          <w:p>
            <w:r/>
            <w:r>
              <w:rPr>
                <w:sz w:val="20"/>
              </w:rPr>
              <w:t>120.000</w:t>
            </w:r>
          </w:p>
        </w:tc>
      </w:tr>
      <w:tr>
        <w:tc>
          <w:tcPr>
            <w:tcW w:type="dxa" w:w="4819"/>
          </w:tcPr>
          <w:p>
            <w:r/>
            <w:r>
              <w:rPr>
                <w:sz w:val="20"/>
              </w:rPr>
              <w:t>Tỷ lệ CASA</w:t>
            </w:r>
          </w:p>
        </w:tc>
        <w:tc>
          <w:tcPr>
            <w:tcW w:type="dxa" w:w="1984"/>
          </w:tcPr>
          <w:p>
            <w:r/>
            <w:r>
              <w:rPr>
                <w:sz w:val="20"/>
              </w:rPr>
              <w:t>16,5%</w:t>
            </w:r>
          </w:p>
        </w:tc>
        <w:tc>
          <w:tcPr>
            <w:tcW w:type="dxa" w:w="1984"/>
          </w:tcPr>
          <w:p>
            <w:r/>
            <w:r>
              <w:rPr>
                <w:sz w:val="20"/>
              </w:rPr>
              <w:t>20,0%</w:t>
            </w:r>
          </w:p>
        </w:tc>
      </w:tr>
      <w:tr>
        <w:tc>
          <w:tcPr>
            <w:tcW w:type="dxa" w:w="4819"/>
          </w:tcPr>
          <w:p>
            <w:r/>
            <w:r>
              <w:rPr>
                <w:sz w:val="20"/>
              </w:rPr>
              <w:t>Tỷ trọng phí wealth management trên tổng phí</w:t>
            </w:r>
          </w:p>
        </w:tc>
        <w:tc>
          <w:tcPr>
            <w:tcW w:type="dxa" w:w="1984"/>
          </w:tcPr>
          <w:p>
            <w:r/>
            <w:r>
              <w:rPr>
                <w:sz w:val="20"/>
              </w:rPr>
              <w:t>19%</w:t>
            </w:r>
          </w:p>
        </w:tc>
        <w:tc>
          <w:tcPr>
            <w:tcW w:type="dxa" w:w="1984"/>
          </w:tcPr>
          <w:p>
            <w:r/>
            <w:r>
              <w:rPr>
                <w:sz w:val="20"/>
              </w:rPr>
              <w:t>30%</w:t>
            </w:r>
          </w:p>
        </w:tc>
      </w:tr>
      <w:tr>
        <w:tc>
          <w:tcPr>
            <w:tcW w:type="dxa" w:w="4819"/>
          </w:tcPr>
          <w:p>
            <w:r/>
            <w:r>
              <w:rPr>
                <w:sz w:val="20"/>
              </w:rPr>
              <w:t>Điểm hài lòng khách hàng (NPS)</w:t>
            </w:r>
          </w:p>
        </w:tc>
        <w:tc>
          <w:tcPr>
            <w:tcW w:type="dxa" w:w="1984"/>
          </w:tcPr>
          <w:p>
            <w:r/>
            <w:r>
              <w:rPr>
                <w:sz w:val="20"/>
              </w:rPr>
              <w:t>+38</w:t>
            </w:r>
          </w:p>
        </w:tc>
        <w:tc>
          <w:tcPr>
            <w:tcW w:type="dxa" w:w="1984"/>
          </w:tcPr>
          <w:p>
            <w:r/>
            <w:r>
              <w:rPr>
                <w:sz w:val="20"/>
              </w:rPr>
              <w:t>+50</w:t>
            </w:r>
          </w:p>
        </w:tc>
      </w:tr>
    </w:tbl>
    <w:p/>
    <w:p>
      <w:pPr>
        <w:pStyle w:val="Heading1"/>
      </w:pPr>
      <w:r>
        <w:t>3. Hạng thành viên và tiêu chí xét hạng</w:t>
      </w:r>
    </w:p>
    <w:p>
      <w:pPr>
        <w:jc w:val="both"/>
      </w:pPr>
      <w:r>
        <w:rPr>
          <w:i w:val="0"/>
        </w:rPr>
        <w:t>Hạng thành viên xét theo tổng tài sản bình quân 3 tháng tại Ngân hàng, gồm tiền gửi, chứng chỉ quỹ và trái phiếu phân phối qua Ngân hàng.</w:t>
      </w:r>
    </w:p>
    <w:tbl>
      <w:tblPr>
        <w:tblStyle w:val="TableGrid"/>
        <w:tblW w:type="auto" w:w="0"/>
        <w:jc w:val="center"/>
        <w:tblLook w:firstColumn="1" w:firstRow="1" w:lastColumn="0" w:lastRow="0" w:noHBand="0" w:noVBand="1" w:val="04A0"/>
      </w:tblPr>
      <w:tblGrid>
        <w:gridCol w:w="3137"/>
        <w:gridCol w:w="3137"/>
        <w:gridCol w:w="3137"/>
      </w:tblGrid>
      <w:tr>
        <w:tc>
          <w:tcPr>
            <w:tcW w:type="dxa" w:w="2268"/>
            <w:shd w:val="clear" w:color="auto" w:fill="0B3D5C"/>
          </w:tcPr>
          <w:p>
            <w:r/>
            <w:r>
              <w:rPr>
                <w:b/>
                <w:color w:val="FFFFFF"/>
                <w:sz w:val="20"/>
              </w:rPr>
              <w:t>Hạng</w:t>
            </w:r>
          </w:p>
        </w:tc>
        <w:tc>
          <w:tcPr>
            <w:tcW w:type="dxa" w:w="2835"/>
            <w:shd w:val="clear" w:color="auto" w:fill="0B3D5C"/>
          </w:tcPr>
          <w:p>
            <w:r/>
            <w:r>
              <w:rPr>
                <w:b/>
                <w:color w:val="FFFFFF"/>
                <w:sz w:val="20"/>
              </w:rPr>
              <w:t>Tổng tài sản bình quân</w:t>
            </w:r>
          </w:p>
        </w:tc>
        <w:tc>
          <w:tcPr>
            <w:tcW w:type="dxa" w:w="3969"/>
            <w:shd w:val="clear" w:color="auto" w:fill="0B3D5C"/>
          </w:tcPr>
          <w:p>
            <w:r/>
            <w:r>
              <w:rPr>
                <w:b/>
                <w:color w:val="FFFFFF"/>
                <w:sz w:val="20"/>
              </w:rPr>
              <w:t>Điểm mới năm 2027</w:t>
            </w:r>
          </w:p>
        </w:tc>
      </w:tr>
      <w:tr>
        <w:tc>
          <w:tcPr>
            <w:tcW w:type="dxa" w:w="2268"/>
          </w:tcPr>
          <w:p>
            <w:r/>
            <w:r>
              <w:rPr>
                <w:sz w:val="20"/>
              </w:rPr>
              <w:t>Exclusive Gold</w:t>
            </w:r>
          </w:p>
        </w:tc>
        <w:tc>
          <w:tcPr>
            <w:tcW w:type="dxa" w:w="2835"/>
          </w:tcPr>
          <w:p>
            <w:r/>
            <w:r>
              <w:rPr>
                <w:sz w:val="20"/>
              </w:rPr>
              <w:t>Từ 2 tỷ đến dưới 5 tỷ đồng</w:t>
            </w:r>
          </w:p>
        </w:tc>
        <w:tc>
          <w:tcPr>
            <w:tcW w:type="dxa" w:w="3969"/>
          </w:tcPr>
          <w:p>
            <w:r/>
            <w:r>
              <w:rPr>
                <w:sz w:val="20"/>
              </w:rPr>
              <w:t>Được cộng tài sản của vợ/chồng để xét hạng</w:t>
            </w:r>
          </w:p>
        </w:tc>
      </w:tr>
      <w:tr>
        <w:tc>
          <w:tcPr>
            <w:tcW w:type="dxa" w:w="2268"/>
          </w:tcPr>
          <w:p>
            <w:r/>
            <w:r>
              <w:rPr>
                <w:sz w:val="20"/>
              </w:rPr>
              <w:t>Exclusive Platinum</w:t>
            </w:r>
          </w:p>
        </w:tc>
        <w:tc>
          <w:tcPr>
            <w:tcW w:type="dxa" w:w="2835"/>
          </w:tcPr>
          <w:p>
            <w:r/>
            <w:r>
              <w:rPr>
                <w:sz w:val="20"/>
              </w:rPr>
              <w:t>Từ 5 tỷ đến dưới 15 tỷ đồng</w:t>
            </w:r>
          </w:p>
        </w:tc>
        <w:tc>
          <w:tcPr>
            <w:tcW w:type="dxa" w:w="3969"/>
          </w:tcPr>
          <w:p>
            <w:r/>
            <w:r>
              <w:rPr>
                <w:sz w:val="20"/>
              </w:rPr>
              <w:t>Gộp tài sản gia đình (Exclusive Family) tối đa 4 thành viên</w:t>
            </w:r>
          </w:p>
        </w:tc>
      </w:tr>
      <w:tr>
        <w:tc>
          <w:tcPr>
            <w:tcW w:type="dxa" w:w="2268"/>
          </w:tcPr>
          <w:p>
            <w:r/>
            <w:r>
              <w:rPr>
                <w:sz w:val="20"/>
              </w:rPr>
              <w:t>Exclusive Diamond</w:t>
            </w:r>
          </w:p>
        </w:tc>
        <w:tc>
          <w:tcPr>
            <w:tcW w:type="dxa" w:w="2835"/>
          </w:tcPr>
          <w:p>
            <w:r/>
            <w:r>
              <w:rPr>
                <w:sz w:val="20"/>
              </w:rPr>
              <w:t>Từ 15 tỷ đồng</w:t>
            </w:r>
          </w:p>
        </w:tc>
        <w:tc>
          <w:tcPr>
            <w:tcW w:type="dxa" w:w="3969"/>
          </w:tcPr>
          <w:p>
            <w:r/>
            <w:r>
              <w:rPr>
                <w:sz w:val="20"/>
              </w:rPr>
              <w:t>Thêm dịch vụ tư vấn kế hoạch thừa kế và family office</w:t>
            </w:r>
          </w:p>
        </w:tc>
      </w:tr>
    </w:tbl>
    <w:p/>
    <w:p>
      <w:pPr>
        <w:pStyle w:val="Heading1"/>
      </w:pPr>
      <w:r>
        <w:t>4. Đặc quyền tài chính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69"/>
            <w:shd w:val="clear" w:color="auto" w:fill="0B3D5C"/>
          </w:tcPr>
          <w:p>
            <w:r/>
            <w:r>
              <w:rPr>
                <w:b/>
                <w:color w:val="FFFFFF"/>
                <w:sz w:val="20"/>
              </w:rPr>
              <w:t>Đặc quyền</w:t>
            </w:r>
          </w:p>
        </w:tc>
        <w:tc>
          <w:tcPr>
            <w:tcW w:type="dxa" w:w="1701"/>
            <w:shd w:val="clear" w:color="auto" w:fill="0B3D5C"/>
          </w:tcPr>
          <w:p>
            <w:r/>
            <w:r>
              <w:rPr>
                <w:b/>
                <w:color w:val="FFFFFF"/>
                <w:sz w:val="20"/>
              </w:rPr>
              <w:t>Gold</w:t>
            </w:r>
          </w:p>
        </w:tc>
        <w:tc>
          <w:tcPr>
            <w:tcW w:type="dxa" w:w="1701"/>
            <w:shd w:val="clear" w:color="auto" w:fill="0B3D5C"/>
          </w:tcPr>
          <w:p>
            <w:r/>
            <w:r>
              <w:rPr>
                <w:b/>
                <w:color w:val="FFFFFF"/>
                <w:sz w:val="20"/>
              </w:rPr>
              <w:t>Platinum</w:t>
            </w:r>
          </w:p>
        </w:tc>
        <w:tc>
          <w:tcPr>
            <w:tcW w:type="dxa" w:w="1701"/>
            <w:shd w:val="clear" w:color="auto" w:fill="0B3D5C"/>
          </w:tcPr>
          <w:p>
            <w:r/>
            <w:r>
              <w:rPr>
                <w:b/>
                <w:color w:val="FFFFFF"/>
                <w:sz w:val="20"/>
              </w:rPr>
              <w:t>Diamond</w:t>
            </w:r>
          </w:p>
        </w:tc>
      </w:tr>
      <w:tr>
        <w:tc>
          <w:tcPr>
            <w:tcW w:type="dxa" w:w="3969"/>
          </w:tcPr>
          <w:p>
            <w:r/>
            <w:r>
              <w:rPr>
                <w:sz w:val="20"/>
              </w:rPr>
              <w:t>Lãi suất tiền gửi có kỳ hạn cộng thêm</w:t>
            </w:r>
          </w:p>
        </w:tc>
        <w:tc>
          <w:tcPr>
            <w:tcW w:type="dxa" w:w="1701"/>
          </w:tcPr>
          <w:p>
            <w:r/>
            <w:r>
              <w:rPr>
                <w:sz w:val="20"/>
              </w:rPr>
              <w:t>+0,2%/năm</w:t>
            </w:r>
          </w:p>
        </w:tc>
        <w:tc>
          <w:tcPr>
            <w:tcW w:type="dxa" w:w="1701"/>
          </w:tcPr>
          <w:p>
            <w:r/>
            <w:r>
              <w:rPr>
                <w:sz w:val="20"/>
              </w:rPr>
              <w:t>+0,3%/năm</w:t>
            </w:r>
          </w:p>
        </w:tc>
        <w:tc>
          <w:tcPr>
            <w:tcW w:type="dxa" w:w="1701"/>
          </w:tcPr>
          <w:p>
            <w:r/>
            <w:r>
              <w:rPr>
                <w:sz w:val="20"/>
              </w:rPr>
              <w:t>+0,5%/năm</w:t>
            </w:r>
          </w:p>
        </w:tc>
      </w:tr>
      <w:tr>
        <w:tc>
          <w:tcPr>
            <w:tcW w:type="dxa" w:w="3969"/>
          </w:tcPr>
          <w:p>
            <w:r/>
            <w:r>
              <w:rPr>
                <w:sz w:val="20"/>
              </w:rPr>
              <w:t>CASA Booster: lãi suất bậc thang cho số dư CASA trên 500 triệu</w:t>
            </w:r>
          </w:p>
        </w:tc>
        <w:tc>
          <w:tcPr>
            <w:tcW w:type="dxa" w:w="1701"/>
          </w:tcPr>
          <w:p>
            <w:r/>
            <w:r>
              <w:rPr>
                <w:sz w:val="20"/>
              </w:rPr>
              <w:t>0,5%/năm</w:t>
            </w:r>
          </w:p>
        </w:tc>
        <w:tc>
          <w:tcPr>
            <w:tcW w:type="dxa" w:w="1701"/>
          </w:tcPr>
          <w:p>
            <w:r/>
            <w:r>
              <w:rPr>
                <w:sz w:val="20"/>
              </w:rPr>
              <w:t>0,8%/năm</w:t>
            </w:r>
          </w:p>
        </w:tc>
        <w:tc>
          <w:tcPr>
            <w:tcW w:type="dxa" w:w="1701"/>
          </w:tcPr>
          <w:p>
            <w:r/>
            <w:r>
              <w:rPr>
                <w:sz w:val="20"/>
              </w:rPr>
              <w:t>1,0%/năm</w:t>
            </w:r>
          </w:p>
        </w:tc>
      </w:tr>
      <w:tr>
        <w:tc>
          <w:tcPr>
            <w:tcW w:type="dxa" w:w="3969"/>
          </w:tcPr>
          <w:p>
            <w:r/>
            <w:r>
              <w:rPr>
                <w:sz w:val="20"/>
              </w:rPr>
              <w:t>Chuyển tiền quốc tế miễn phí mỗi tháng</w:t>
            </w:r>
          </w:p>
        </w:tc>
        <w:tc>
          <w:tcPr>
            <w:tcW w:type="dxa" w:w="1701"/>
          </w:tcPr>
          <w:p>
            <w:r/>
            <w:r>
              <w:rPr>
                <w:sz w:val="20"/>
              </w:rPr>
              <w:t>2 giao dịch</w:t>
            </w:r>
          </w:p>
        </w:tc>
        <w:tc>
          <w:tcPr>
            <w:tcW w:type="dxa" w:w="1701"/>
          </w:tcPr>
          <w:p>
            <w:r/>
            <w:r>
              <w:rPr>
                <w:sz w:val="20"/>
              </w:rPr>
              <w:t>5 giao dịch</w:t>
            </w:r>
          </w:p>
        </w:tc>
        <w:tc>
          <w:tcPr>
            <w:tcW w:type="dxa" w:w="1701"/>
          </w:tcPr>
          <w:p>
            <w:r/>
            <w:r>
              <w:rPr>
                <w:sz w:val="20"/>
              </w:rPr>
              <w:t>Không giới hạn</w:t>
            </w:r>
          </w:p>
        </w:tc>
      </w:tr>
      <w:tr>
        <w:tc>
          <w:tcPr>
            <w:tcW w:type="dxa" w:w="3969"/>
          </w:tcPr>
          <w:p>
            <w:r/>
            <w:r>
              <w:rPr>
                <w:sz w:val="20"/>
              </w:rPr>
              <w:t>Giảm chênh lệch tỷ giá</w:t>
            </w:r>
          </w:p>
        </w:tc>
        <w:tc>
          <w:tcPr>
            <w:tcW w:type="dxa" w:w="1701"/>
          </w:tcPr>
          <w:p>
            <w:r/>
            <w:r>
              <w:rPr>
                <w:sz w:val="20"/>
              </w:rPr>
              <w:t>15%</w:t>
            </w:r>
          </w:p>
        </w:tc>
        <w:tc>
          <w:tcPr>
            <w:tcW w:type="dxa" w:w="1701"/>
          </w:tcPr>
          <w:p>
            <w:r/>
            <w:r>
              <w:rPr>
                <w:sz w:val="20"/>
              </w:rPr>
              <w:t>25%</w:t>
            </w:r>
          </w:p>
        </w:tc>
        <w:tc>
          <w:tcPr>
            <w:tcW w:type="dxa" w:w="1701"/>
          </w:tcPr>
          <w:p>
            <w:r/>
            <w:r>
              <w:rPr>
                <w:sz w:val="20"/>
              </w:rPr>
              <w:t>40%</w:t>
            </w:r>
          </w:p>
        </w:tc>
      </w:tr>
      <w:tr>
        <w:tc>
          <w:tcPr>
            <w:tcW w:type="dxa" w:w="3969"/>
          </w:tcPr>
          <w:p>
            <w:r/>
            <w:r>
              <w:rPr>
                <w:sz w:val="20"/>
              </w:rPr>
              <w:t>Ưu đãi phí giao dịch chứng chỉ quỹ, trái phiếu</w:t>
            </w:r>
          </w:p>
        </w:tc>
        <w:tc>
          <w:tcPr>
            <w:tcW w:type="dxa" w:w="1701"/>
          </w:tcPr>
          <w:p>
            <w:r/>
            <w:r>
              <w:rPr>
                <w:sz w:val="20"/>
              </w:rPr>
              <w:t>Giảm 20%</w:t>
            </w:r>
          </w:p>
        </w:tc>
        <w:tc>
          <w:tcPr>
            <w:tcW w:type="dxa" w:w="1701"/>
          </w:tcPr>
          <w:p>
            <w:r/>
            <w:r>
              <w:rPr>
                <w:sz w:val="20"/>
              </w:rPr>
              <w:t>Giảm 35%</w:t>
            </w:r>
          </w:p>
        </w:tc>
        <w:tc>
          <w:tcPr>
            <w:tcW w:type="dxa" w:w="1701"/>
          </w:tcPr>
          <w:p>
            <w:r/>
            <w:r>
              <w:rPr>
                <w:sz w:val="20"/>
              </w:rPr>
              <w:t>Miễn phí</w:t>
            </w:r>
          </w:p>
        </w:tc>
      </w:tr>
    </w:tbl>
    <w:p/>
    <w:p>
      <w:pPr>
        <w:pStyle w:val="Heading1"/>
      </w:pPr>
      <w:r>
        <w:t>5. Đặc quyền phi tài chính</w:t>
      </w:r>
    </w:p>
    <w:p>
      <w:pPr>
        <w:pStyle w:val="ListBullet"/>
      </w:pPr>
      <w:r>
        <w:t>Phòng chờ sân bay: Gold 4 lượt/năm, Platinum 8 lượt/năm, Diamond không giới hạn kèm 1 người đi cùng.</w:t>
      </w:r>
    </w:p>
    <w:p>
      <w:pPr>
        <w:pStyle w:val="ListBullet"/>
      </w:pPr>
      <w:r>
        <w:t>Chăm sóc sức khỏe: khám sức khỏe tổng quát hằng năm cho Platinum và Diamond tại bệnh viện đối tác.</w:t>
      </w:r>
    </w:p>
    <w:p>
      <w:pPr>
        <w:pStyle w:val="ListBullet"/>
      </w:pPr>
      <w:r>
        <w:t>Exclusive Next-Gen: chương trình hướng nghiệp và kiến thức tài chính cho con của khách hàng Platinum, Diamond.</w:t>
      </w:r>
    </w:p>
    <w:p>
      <w:pPr>
        <w:pStyle w:val="ListBullet"/>
      </w:pPr>
      <w:r>
        <w:t>Sự kiện riêng: hội thảo triển vọng đầu tư hằng quý, golf và thưởng lãm nghệ thuật cho khách hàng Diamond.</w:t>
      </w:r>
    </w:p>
    <w:p>
      <w:pPr>
        <w:pStyle w:val="Heading1"/>
      </w:pPr>
      <w:r>
        <w:t>6. Vai trò của RM và Giám đốc Trung tâm</w:t>
      </w:r>
    </w:p>
    <w:p>
      <w:pPr/>
      <w:r>
        <w:rPr>
          <w:b/>
        </w:rPr>
        <w:t xml:space="preserve">Tuần đầu tiên: </w:t>
      </w:r>
      <w:r>
        <w:t>RM rà soát danh mục, xác định khách hàng gần ngưỡng nâng hạng (thiếu dưới 20% tài sản) và khách hàng có thể gộp tài sản gia đình.</w:t>
      </w:r>
    </w:p>
    <w:p>
      <w:pPr/>
      <w:r>
        <w:rPr>
          <w:b/>
        </w:rPr>
        <w:t xml:space="preserve">Hằng tuần: </w:t>
      </w:r>
      <w:r>
        <w:t>mỗi RM thực hiện tối thiểu 10 cuộc gọi giới thiệu chương trình, ưu tiên khách hàng có CASA bình quân trên 500 triệu đồng.</w:t>
      </w:r>
    </w:p>
    <w:p>
      <w:pPr/>
      <w:r>
        <w:rPr>
          <w:b/>
        </w:rPr>
        <w:t xml:space="preserve">Hằng tháng: </w:t>
      </w:r>
      <w:r>
        <w:t>Giám đốc Trung tâm họp review danh mục với từng RM, theo dõi chỉ tiêu tại Mục 8.</w:t>
      </w:r>
    </w:p>
    <w:p>
      <w:pPr/>
      <w:r>
        <w:rPr>
          <w:b/>
        </w:rPr>
        <w:t xml:space="preserve">Tuân thủ: </w:t>
      </w:r>
      <w:r>
        <w:t>không cam kết lợi nhuận đầu tư, luôn đánh giá mức độ phù hợp trước khi tư vấn sản phẩm đầu tư, không gắn bảo hiểm làm điều kiện hưởng ưu đãi.</w:t>
      </w:r>
    </w:p>
    <w:p>
      <w:pPr>
        <w:pStyle w:val="Heading1"/>
      </w:pPr>
      <w:r>
        <w:t>7. Lộ trình triển khai</w:t>
      </w:r>
    </w:p>
    <w:tbl>
      <w:tblPr>
        <w:tblStyle w:val="TableGrid"/>
        <w:tblW w:type="auto" w:w="0"/>
        <w:jc w:val="center"/>
        <w:tblLook w:firstColumn="1" w:firstRow="1" w:lastColumn="0" w:lastRow="0" w:noHBand="0" w:noVBand="1" w:val="04A0"/>
      </w:tblPr>
      <w:tblGrid>
        <w:gridCol w:w="3137"/>
        <w:gridCol w:w="3137"/>
        <w:gridCol w:w="3137"/>
      </w:tblGrid>
      <w:tr>
        <w:tc>
          <w:tcPr>
            <w:tcW w:type="dxa" w:w="1701"/>
            <w:shd w:val="clear" w:color="auto" w:fill="0B3D5C"/>
          </w:tcPr>
          <w:p>
            <w:r/>
            <w:r>
              <w:rPr>
                <w:b/>
                <w:color w:val="FFFFFF"/>
                <w:sz w:val="20"/>
              </w:rPr>
              <w:t>Thời gian</w:t>
            </w:r>
          </w:p>
        </w:tc>
        <w:tc>
          <w:tcPr>
            <w:tcW w:type="dxa" w:w="4535"/>
            <w:shd w:val="clear" w:color="auto" w:fill="0B3D5C"/>
          </w:tcPr>
          <w:p>
            <w:r/>
            <w:r>
              <w:rPr>
                <w:b/>
                <w:color w:val="FFFFFF"/>
                <w:sz w:val="20"/>
              </w:rPr>
              <w:t>Hoạt động</w:t>
            </w:r>
          </w:p>
        </w:tc>
        <w:tc>
          <w:tcPr>
            <w:tcW w:type="dxa" w:w="2835"/>
            <w:shd w:val="clear" w:color="auto" w:fill="0B3D5C"/>
          </w:tcPr>
          <w:p>
            <w:r/>
            <w:r>
              <w:rPr>
                <w:b/>
                <w:color w:val="FFFFFF"/>
                <w:sz w:val="20"/>
              </w:rPr>
              <w:t>Đơn vị chủ trì</w:t>
            </w:r>
          </w:p>
        </w:tc>
      </w:tr>
      <w:tr>
        <w:tc>
          <w:tcPr>
            <w:tcW w:type="dxa" w:w="1701"/>
          </w:tcPr>
          <w:p>
            <w:r/>
            <w:r>
              <w:rPr>
                <w:sz w:val="20"/>
              </w:rPr>
              <w:t>11/2026</w:t>
            </w:r>
          </w:p>
        </w:tc>
        <w:tc>
          <w:tcPr>
            <w:tcW w:type="dxa" w:w="4535"/>
          </w:tcPr>
          <w:p>
            <w:r/>
            <w:r>
              <w:rPr>
                <w:sz w:val="20"/>
              </w:rPr>
              <w:t>Phê duyệt chương trình, cấu hình hệ thống xét hạng mới</w:t>
            </w:r>
          </w:p>
        </w:tc>
        <w:tc>
          <w:tcPr>
            <w:tcW w:type="dxa" w:w="2835"/>
          </w:tcPr>
          <w:p>
            <w:r/>
            <w:r>
              <w:rPr>
                <w:sz w:val="20"/>
              </w:rPr>
              <w:t>Phòng Phát triển KHUT, Khối Công nghệ</w:t>
            </w:r>
          </w:p>
        </w:tc>
      </w:tr>
      <w:tr>
        <w:tc>
          <w:tcPr>
            <w:tcW w:type="dxa" w:w="1701"/>
          </w:tcPr>
          <w:p>
            <w:r/>
            <w:r>
              <w:rPr>
                <w:sz w:val="20"/>
              </w:rPr>
              <w:t>12/2026</w:t>
            </w:r>
          </w:p>
        </w:tc>
        <w:tc>
          <w:tcPr>
            <w:tcW w:type="dxa" w:w="4535"/>
          </w:tcPr>
          <w:p>
            <w:r/>
            <w:r>
              <w:rPr>
                <w:sz w:val="20"/>
              </w:rPr>
              <w:t>Đào tạo 240 RM, chuẩn bị bộ tài liệu tư vấn</w:t>
            </w:r>
          </w:p>
        </w:tc>
        <w:tc>
          <w:tcPr>
            <w:tcW w:type="dxa" w:w="2835"/>
          </w:tcPr>
          <w:p>
            <w:r/>
            <w:r>
              <w:rPr>
                <w:sz w:val="20"/>
              </w:rPr>
              <w:t>Phòng Phát triển KHUT</w:t>
            </w:r>
          </w:p>
        </w:tc>
      </w:tr>
      <w:tr>
        <w:tc>
          <w:tcPr>
            <w:tcW w:type="dxa" w:w="1701"/>
          </w:tcPr>
          <w:p>
            <w:r/>
            <w:r>
              <w:rPr>
                <w:sz w:val="20"/>
              </w:rPr>
              <w:t>12/2026</w:t>
            </w:r>
          </w:p>
        </w:tc>
        <w:tc>
          <w:tcPr>
            <w:tcW w:type="dxa" w:w="4535"/>
          </w:tcPr>
          <w:p>
            <w:r/>
            <w:r>
              <w:rPr>
                <w:sz w:val="20"/>
              </w:rPr>
              <w:t>Truyền thông trước tới khách hàng hiện hữu</w:t>
            </w:r>
          </w:p>
        </w:tc>
        <w:tc>
          <w:tcPr>
            <w:tcW w:type="dxa" w:w="2835"/>
          </w:tcPr>
          <w:p>
            <w:r/>
            <w:r>
              <w:rPr>
                <w:sz w:val="20"/>
              </w:rPr>
              <w:t>Phòng Marketing</w:t>
            </w:r>
          </w:p>
        </w:tc>
      </w:tr>
      <w:tr>
        <w:tc>
          <w:tcPr>
            <w:tcW w:type="dxa" w:w="1701"/>
          </w:tcPr>
          <w:p>
            <w:r/>
            <w:r>
              <w:rPr>
                <w:sz w:val="20"/>
              </w:rPr>
              <w:t>01/01/2027</w:t>
            </w:r>
          </w:p>
        </w:tc>
        <w:tc>
          <w:tcPr>
            <w:tcW w:type="dxa" w:w="4535"/>
          </w:tcPr>
          <w:p>
            <w:r/>
            <w:r>
              <w:rPr>
                <w:sz w:val="20"/>
              </w:rPr>
              <w:t>Chính thức áp dụng trên toàn hệ thống</w:t>
            </w:r>
          </w:p>
        </w:tc>
        <w:tc>
          <w:tcPr>
            <w:tcW w:type="dxa" w:w="2835"/>
          </w:tcPr>
          <w:p>
            <w:r/>
            <w:r>
              <w:rPr>
                <w:sz w:val="20"/>
              </w:rPr>
              <w:t>12 Trung tâm Exclusive</w:t>
            </w:r>
          </w:p>
        </w:tc>
      </w:tr>
      <w:tr>
        <w:tc>
          <w:tcPr>
            <w:tcW w:type="dxa" w:w="1701"/>
          </w:tcPr>
          <w:p>
            <w:r/>
            <w:r>
              <w:rPr>
                <w:sz w:val="20"/>
              </w:rPr>
              <w:t>Hằng quý</w:t>
            </w:r>
          </w:p>
        </w:tc>
        <w:tc>
          <w:tcPr>
            <w:tcW w:type="dxa" w:w="4535"/>
          </w:tcPr>
          <w:p>
            <w:r/>
            <w:r>
              <w:rPr>
                <w:sz w:val="20"/>
              </w:rPr>
              <w:t>Đánh giá hiệu quả, điều chỉnh ưu đãi</w:t>
            </w:r>
          </w:p>
        </w:tc>
        <w:tc>
          <w:tcPr>
            <w:tcW w:type="dxa" w:w="2835"/>
          </w:tcPr>
          <w:p>
            <w:r/>
            <w:r>
              <w:rPr>
                <w:sz w:val="20"/>
              </w:rPr>
              <w:t>Ban Điều hành Khối</w:t>
            </w:r>
          </w:p>
        </w:tc>
      </w:tr>
    </w:tbl>
    <w:p/>
    <w:p>
      <w:pPr>
        <w:pStyle w:val="Heading1"/>
      </w:pPr>
      <w:r>
        <w:t>8. Chỉ tiêu theo vùng đến 31/12/2027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835"/>
            <w:shd w:val="clear" w:color="auto" w:fill="0B3D5C"/>
          </w:tcPr>
          <w:p>
            <w:r/>
            <w:r>
              <w:rPr>
                <w:b/>
                <w:color w:val="FFFFFF"/>
                <w:sz w:val="20"/>
              </w:rPr>
              <w:t>Vùng</w:t>
            </w:r>
          </w:p>
        </w:tc>
        <w:tc>
          <w:tcPr>
            <w:tcW w:type="dxa" w:w="1984"/>
            <w:shd w:val="clear" w:color="auto" w:fill="0B3D5C"/>
          </w:tcPr>
          <w:p>
            <w:r/>
            <w:r>
              <w:rPr>
                <w:b/>
                <w:color w:val="FFFFFF"/>
                <w:sz w:val="20"/>
              </w:rPr>
              <w:t>Số KH hiện tại</w:t>
            </w:r>
          </w:p>
        </w:tc>
        <w:tc>
          <w:tcPr>
            <w:tcW w:type="dxa" w:w="1984"/>
            <w:shd w:val="clear" w:color="auto" w:fill="0B3D5C"/>
          </w:tcPr>
          <w:p>
            <w:r/>
            <w:r>
              <w:rPr>
                <w:b/>
                <w:color w:val="FFFFFF"/>
                <w:sz w:val="20"/>
              </w:rPr>
              <w:t>Mục tiêu số KH</w:t>
            </w:r>
          </w:p>
        </w:tc>
        <w:tc>
          <w:tcPr>
            <w:tcW w:type="dxa" w:w="2268"/>
            <w:shd w:val="clear" w:color="auto" w:fill="0B3D5C"/>
          </w:tcPr>
          <w:p>
            <w:r/>
            <w:r>
              <w:rPr>
                <w:b/>
                <w:color w:val="FFFFFF"/>
                <w:sz w:val="20"/>
              </w:rPr>
              <w:t>Mục tiêu AUM (tỷ đồng)</w:t>
            </w:r>
          </w:p>
        </w:tc>
      </w:tr>
      <w:tr>
        <w:tc>
          <w:tcPr>
            <w:tcW w:type="dxa" w:w="2835"/>
          </w:tcPr>
          <w:p>
            <w:r/>
            <w:r>
              <w:rPr>
                <w:sz w:val="20"/>
              </w:rPr>
              <w:t>Miền Nam (6 trung tâm)</w:t>
            </w:r>
          </w:p>
        </w:tc>
        <w:tc>
          <w:tcPr>
            <w:tcW w:type="dxa" w:w="1984"/>
          </w:tcPr>
          <w:p>
            <w:r/>
            <w:r>
              <w:rPr>
                <w:sz w:val="20"/>
              </w:rPr>
              <w:t>10.216</w:t>
            </w:r>
          </w:p>
        </w:tc>
        <w:tc>
          <w:tcPr>
            <w:tcW w:type="dxa" w:w="1984"/>
          </w:tcPr>
          <w:p>
            <w:r/>
            <w:r>
              <w:rPr>
                <w:sz w:val="20"/>
              </w:rPr>
              <w:t>12.300</w:t>
            </w:r>
          </w:p>
        </w:tc>
        <w:tc>
          <w:tcPr>
            <w:tcW w:type="dxa" w:w="2268"/>
          </w:tcPr>
          <w:p>
            <w:r/>
            <w:r>
              <w:rPr>
                <w:sz w:val="20"/>
              </w:rPr>
              <w:t>66.000</w:t>
            </w:r>
          </w:p>
        </w:tc>
      </w:tr>
      <w:tr>
        <w:tc>
          <w:tcPr>
            <w:tcW w:type="dxa" w:w="2835"/>
          </w:tcPr>
          <w:p>
            <w:r/>
            <w:r>
              <w:rPr>
                <w:sz w:val="20"/>
              </w:rPr>
              <w:t>Miền Bắc (4 trung tâm)</w:t>
            </w:r>
          </w:p>
        </w:tc>
        <w:tc>
          <w:tcPr>
            <w:tcW w:type="dxa" w:w="1984"/>
          </w:tcPr>
          <w:p>
            <w:r/>
            <w:r>
              <w:rPr>
                <w:sz w:val="20"/>
              </w:rPr>
              <w:t>6.687</w:t>
            </w:r>
          </w:p>
        </w:tc>
        <w:tc>
          <w:tcPr>
            <w:tcW w:type="dxa" w:w="1984"/>
          </w:tcPr>
          <w:p>
            <w:r/>
            <w:r>
              <w:rPr>
                <w:sz w:val="20"/>
              </w:rPr>
              <w:t>7.900</w:t>
            </w:r>
          </w:p>
        </w:tc>
        <w:tc>
          <w:tcPr>
            <w:tcW w:type="dxa" w:w="2268"/>
          </w:tcPr>
          <w:p>
            <w:r/>
            <w:r>
              <w:rPr>
                <w:sz w:val="20"/>
              </w:rPr>
              <w:t>41.500</w:t>
            </w:r>
          </w:p>
        </w:tc>
      </w:tr>
      <w:tr>
        <w:tc>
          <w:tcPr>
            <w:tcW w:type="dxa" w:w="2835"/>
          </w:tcPr>
          <w:p>
            <w:r/>
            <w:r>
              <w:rPr>
                <w:sz w:val="20"/>
              </w:rPr>
              <w:t>Miền Trung (2 trung tâm)</w:t>
            </w:r>
          </w:p>
        </w:tc>
        <w:tc>
          <w:tcPr>
            <w:tcW w:type="dxa" w:w="1984"/>
          </w:tcPr>
          <w:p>
            <w:r/>
            <w:r>
              <w:rPr>
                <w:sz w:val="20"/>
              </w:rPr>
              <w:t>2.337</w:t>
            </w:r>
          </w:p>
        </w:tc>
        <w:tc>
          <w:tcPr>
            <w:tcW w:type="dxa" w:w="1984"/>
          </w:tcPr>
          <w:p>
            <w:r/>
            <w:r>
              <w:rPr>
                <w:sz w:val="20"/>
              </w:rPr>
              <w:t>2.800</w:t>
            </w:r>
          </w:p>
        </w:tc>
        <w:tc>
          <w:tcPr>
            <w:tcW w:type="dxa" w:w="2268"/>
          </w:tcPr>
          <w:p>
            <w:r/>
            <w:r>
              <w:rPr>
                <w:sz w:val="20"/>
              </w:rPr>
              <w:t>12.500</w:t>
            </w:r>
          </w:p>
        </w:tc>
      </w:tr>
      <w:tr>
        <w:tc>
          <w:tcPr>
            <w:tcW w:type="dxa" w:w="2835"/>
          </w:tcPr>
          <w:p>
            <w:r/>
            <w:r>
              <w:rPr>
                <w:sz w:val="20"/>
              </w:rPr>
              <w:t>Toàn khối</w:t>
            </w:r>
          </w:p>
        </w:tc>
        <w:tc>
          <w:tcPr>
            <w:tcW w:type="dxa" w:w="1984"/>
          </w:tcPr>
          <w:p>
            <w:r/>
            <w:r>
              <w:rPr>
                <w:sz w:val="20"/>
              </w:rPr>
              <w:t>19.240</w:t>
            </w:r>
          </w:p>
        </w:tc>
        <w:tc>
          <w:tcPr>
            <w:tcW w:type="dxa" w:w="1984"/>
          </w:tcPr>
          <w:p>
            <w:r/>
            <w:r>
              <w:rPr>
                <w:sz w:val="20"/>
              </w:rPr>
              <w:t>23.000</w:t>
            </w:r>
          </w:p>
        </w:tc>
        <w:tc>
          <w:tcPr>
            <w:tcW w:type="dxa" w:w="2268"/>
          </w:tcPr>
          <w:p>
            <w:r/>
            <w:r>
              <w:rPr>
                <w:sz w:val="20"/>
              </w:rPr>
              <w:t>120.000</w:t>
            </w:r>
          </w:p>
        </w:tc>
      </w:tr>
    </w:tbl>
    <w:p/>
    <w:p>
      <w:pPr>
        <w:pStyle w:val="Heading1"/>
      </w:pPr>
      <w:r>
        <w:t>9. Ngân sách dự kiến</w:t>
      </w:r>
    </w:p>
    <w:p>
      <w:pPr>
        <w:jc w:val="both"/>
      </w:pPr>
      <w:r>
        <w:rPr>
          <w:i w:val="0"/>
        </w:rPr>
        <w:t>Tổng chi phí chương trình năm 2027 dự kiến 186 tỷ đồng, gồm chi phí lãi suất cộng thêm (112 tỷ), đặc quyền phi tài chính (48 tỷ) và truyền thông, đào tạo (26 tỷ). Thu nhập tăng thêm ước tính 410 tỷ đồng nhờ tăng CASA và phí wealth management.</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Tài liệu nháp (draft) dùng cho mục đích đào tạo. Tên nhân vật, khách hàng, đối tác và số liệu là giả định.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cs="Arial" w:eastAsia="Arial"/>
      <w:b/>
      <w:bCs/>
      <w:color w:val="0B3D5C"/>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cs="Arial" w:eastAsia="Arial"/>
      <w:b/>
      <w:bCs/>
      <w:color w:val="0B3D5C"/>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eastAsia="Arial"/>
      <w:b/>
      <w:bCs/>
      <w:color w:val="0B3D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