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THỎA THUẬN KHUNG HỢP TÁC EXCLUSIVE BANKING</w:t>
      </w:r>
    </w:p>
    <w:p>
      <w:pPr>
        <w:jc w:val="center"/>
      </w:pPr>
      <w:r>
        <w:rPr>
          <w:i/>
          <w:sz w:val="20"/>
        </w:rPr>
        <w:t>Số: 0926/2026/TTK-EXB-NVE  |  Dự thảo v0.3 ngày 25/09/2026  |  Lưu hành nội bộ</w:t>
      </w:r>
    </w:p>
    <w:p>
      <w:pPr>
        <w:jc w:val="both"/>
      </w:pPr>
      <w:r>
        <w:rPr>
          <w:i w:val="0"/>
        </w:rPr>
        <w:t>Thỏa thuận khung này ("Thỏa thuận") được lập giữa:</w:t>
      </w:r>
    </w:p>
    <w:p>
      <w:pPr>
        <w:pStyle w:val="ListBullet"/>
      </w:pPr>
      <w:r>
        <w:rPr>
          <w:b/>
        </w:rPr>
        <w:t xml:space="preserve">Bên A - Ngân hàng ("Ngân hàng"): </w:t>
      </w:r>
      <w:r>
        <w:t>trụ sở tại TP. Hồ Chí Minh; đại diện bởi Ông Đặng Văn Khải, Phó Tổng Giám đốc phụ trách Khối Khách hàng Ưu tiên.</w:t>
      </w:r>
    </w:p>
    <w:p>
      <w:pPr>
        <w:pStyle w:val="ListBullet"/>
      </w:pPr>
      <w:r>
        <w:rPr>
          <w:b/>
        </w:rPr>
        <w:t xml:space="preserve">Bên B - Công ty TNHH Nordvik Engineering Việt Nam ("Nordvik"): </w:t>
      </w:r>
      <w:r>
        <w:t>doanh nghiệp có vốn đầu tư nước ngoài, trụ sở tại Khu công nghiệp Long Thành Mới, tỉnh Đồng Nai; đại diện bởi Ông Henrik Lindqvist, Tổng Giám đốc.</w:t>
      </w:r>
    </w:p>
    <w:p>
      <w:pPr>
        <w:pStyle w:val="Heading1"/>
      </w:pPr>
      <w:r>
        <w:t>1. Định nghĩa và giải thích từ ngữ</w:t>
      </w:r>
    </w:p>
    <w:p>
      <w:pPr/>
      <w:r>
        <w:rPr>
          <w:b/>
        </w:rPr>
        <w:t xml:space="preserve">1.1. Hợp đồng khung: </w:t>
      </w:r>
      <w:r>
        <w:t>Thỏa thuận này, quy định nguyên tắc chung để Ngân hàng cung cấp dịch vụ Exclusive Banking cho Khách hàng Thụ hưởng; các giao dịch cụ thể được ký kết bằng hợp đồng riêng giữa Ngân hàng và từng khách hàng.</w:t>
      </w:r>
    </w:p>
    <w:p>
      <w:pPr/>
      <w:r>
        <w:rPr>
          <w:b/>
        </w:rPr>
        <w:t xml:space="preserve">1.2. Khách hàng Thụ hưởng: </w:t>
      </w:r>
      <w:r>
        <w:t>thành viên Ban Giám đốc, quản lý cấp cao và chuyên gia nước ngoài của Nordvik có tên trong danh sách do Nordvik gửi Ngân hàng, dự kiến 85 người, trong đó 32 người là chuyên gia nước ngoài.</w:t>
      </w:r>
    </w:p>
    <w:p>
      <w:pPr/>
      <w:r>
        <w:rPr>
          <w:b/>
        </w:rPr>
        <w:t xml:space="preserve">1.3. Hạng thành viên: </w:t>
      </w:r>
      <w:r>
        <w:t>hạng Exclusive Gold, Exclusive Platinum hoặc Exclusive Diamond theo Biểu tiêu chí xét hạng hiện hành của Ngân hàng.</w:t>
      </w:r>
    </w:p>
    <w:p>
      <w:pPr/>
      <w:r>
        <w:rPr>
          <w:b/>
        </w:rPr>
        <w:t xml:space="preserve">1.4. Tiền gửi không kỳ hạn (CASA): </w:t>
      </w:r>
      <w:r>
        <w:t>số dư trên tài khoản thanh toán và tài khoản tiết kiệm không kỳ hạn.</w:t>
      </w:r>
    </w:p>
    <w:p>
      <w:pPr/>
      <w:r>
        <w:rPr>
          <w:b/>
        </w:rPr>
        <w:t xml:space="preserve">1.5. Số dư cam kết tối thiểu: </w:t>
      </w:r>
      <w:r>
        <w:t>tổng số dư CASA bình quân theo quý mà Nordvik và Khách hàng Thụ hưởng cam kết duy trì tại Ngân hàng.</w:t>
      </w:r>
    </w:p>
    <w:p>
      <w:pPr/>
      <w:r>
        <w:rPr>
          <w:b/>
        </w:rPr>
        <w:t xml:space="preserve">1.6. Lãi suất tham chiếu: </w:t>
      </w:r>
      <w:r>
        <w:t>lãi suất cơ sở cho vay khách hàng cá nhân do Ngân hàng công bố và điều chỉnh định kỳ trên website.</w:t>
      </w:r>
    </w:p>
    <w:p>
      <w:pPr>
        <w:pStyle w:val="Heading1"/>
      </w:pPr>
      <w:r>
        <w:t>2. Mục đích và phạm vi hợp tác</w:t>
      </w:r>
    </w:p>
    <w:p>
      <w:pPr>
        <w:jc w:val="both"/>
      </w:pPr>
      <w:r>
        <w:rPr>
          <w:i w:val="0"/>
        </w:rPr>
        <w:t>2.1. Hai bên hợp tác để Ngân hàng cung cấp gói dịch vụ tài chính trọn gói, ưu tiên và bảo mật cho Khách hàng Thụ hưởng, giúp Nordvik nâng cao phúc lợi và giữ chân đội ngũ quản lý, chuyên gia.</w:t>
      </w:r>
    </w:p>
    <w:p>
      <w:pPr>
        <w:jc w:val="both"/>
      </w:pPr>
      <w:r>
        <w:rPr>
          <w:i w:val="0"/>
        </w:rPr>
        <w:t>2.2. Phạm vi hợp tác gồm: dịch vụ tài khoản và chi lương; thẻ tín dụng; tín dụng cá nhân; chuyển tiền quốc tế và ngoại hối; bảo hiểm sức khỏe và nhân thọ qua đối tác của Ngân hàng; tư vấn quản lý tài sản (wealth management).</w:t>
      </w:r>
    </w:p>
    <w:p>
      <w:pPr>
        <w:jc w:val="both"/>
      </w:pPr>
      <w:r>
        <w:rPr>
          <w:i w:val="0"/>
        </w:rPr>
        <w:t>2.3. Thời hạn Thỏa thuận là 03 (ba) năm kể từ ngày ký, tự động gia hạn từng năm nếu không bên nào có văn bản đề nghị chấm dứt trước ít nhất 60 ngày.</w:t>
      </w:r>
    </w:p>
    <w:p>
      <w:pPr>
        <w:pStyle w:val="Heading1"/>
      </w:pPr>
      <w:r>
        <w:t>3. Dịch vụ cung cấp cho Khách hàng Thụ hưởng</w:t>
      </w:r>
    </w:p>
    <w:p>
      <w:pPr/>
      <w:r>
        <w:t>3.1. Mở tài khoản thanh toán đa tệ (VND, USD, EUR, SEK) trong ngày, có RM Exclusive chuyên trách phục vụ bằng tiếng Anh.</w:t>
      </w:r>
    </w:p>
    <w:p>
      <w:pPr/>
      <w:r>
        <w:t>3.2. Xét hạng thành viên ưu tiên: Ban Giám đốc được xét hạng Exclusive Platinum, chuyên gia nước ngoài được xét hạng Exclusive Gold trong 12 tháng đầu mà không cần đáp ứng tiêu chí tổng tài sản.</w:t>
      </w:r>
    </w:p>
    <w:p>
      <w:pPr/>
      <w:r>
        <w:t>3.3. Thẻ tín dụng quốc tế hạng Platinum, hạn mức theo thu nhập, kèm quyền sử dụng phòng chờ sân bay.</w:t>
      </w:r>
    </w:p>
    <w:p>
      <w:pPr/>
      <w:r>
        <w:t>3.4. Thấu chi tài khoản không tài sản bảo đảm và vay mua nhà, mua ô tô theo điều kiện tại Mục 7.</w:t>
      </w:r>
    </w:p>
    <w:p>
      <w:pPr/>
      <w:r>
        <w:t>3.5. Chuyển tiền quốc tế phục vụ nhu cầu chuyển thu nhập hợp pháp về nước của chuyên gia nước ngoài.</w:t>
      </w:r>
    </w:p>
    <w:p>
      <w:pPr/>
      <w:r>
        <w:t>3.6. Tư vấn bảo hiểm và đầu tư theo đúng quy trình đánh giá mức độ phù hợp của Ngân hàng.</w:t>
      </w:r>
    </w:p>
    <w:p>
      <w:pPr>
        <w:pStyle w:val="Heading1"/>
      </w:pPr>
      <w:r>
        <w:t>4. Quyền và nghĩa vụ của Ngân hàng</w:t>
      </w:r>
    </w:p>
    <w:p>
      <w:pPr/>
      <w:r>
        <w:t>4.1. Bố trí 02 RM Exclusive và 01 chuyên viên hỗ trợ tại văn phòng Nordvik định kỳ mỗi tuần một buổi.</w:t>
      </w:r>
    </w:p>
    <w:p>
      <w:pPr/>
      <w:r>
        <w:t>4.2. Xử lý hồ sơ mở tài khoản trong 01 ngày làm việc; trả lời đề nghị tín dụng trong 03 ngày làm việc kể từ khi nhận đủ hồ sơ.</w:t>
      </w:r>
    </w:p>
    <w:p>
      <w:pPr/>
      <w:r>
        <w:t>4.3. Bảo mật thông tin của Nordvik và Khách hàng Thụ hưởng theo Mục 6.</w:t>
      </w:r>
    </w:p>
    <w:p>
      <w:pPr/>
      <w:r>
        <w:t>4.4. Có quyền từ chối cung cấp dịch vụ nếu khách hàng không đáp ứng yêu cầu nhận biết khách hàng (KYC) hoặc quy định pháp luật.</w:t>
      </w:r>
    </w:p>
    <w:p>
      <w:pPr>
        <w:pStyle w:val="Heading1"/>
      </w:pPr>
      <w:r>
        <w:t>5. Quyền và nghĩa vụ của Nordvik</w:t>
      </w:r>
    </w:p>
    <w:p>
      <w:pPr/>
      <w:r>
        <w:t>5.1. Chi lương cho toàn bộ khoảng 420 nhân viên qua tài khoản mở tại Ngân hàng kể từ kỳ lương tháng 01/2027.</w:t>
      </w:r>
    </w:p>
    <w:p>
      <w:pPr/>
      <w:r>
        <w:t>5.2. Cung cấp và cập nhật danh sách Khách hàng Thụ hưởng, xác nhận thu nhập và tình trạng hợp đồng lao động khi Ngân hàng yêu cầu.</w:t>
      </w:r>
    </w:p>
    <w:p>
      <w:pPr/>
      <w:r>
        <w:t>5.3. Thông báo cho Ngân hàng trong 05 ngày làm việc khi Khách hàng Thụ hưởng chấm dứt hợp đồng lao động.</w:t>
      </w:r>
    </w:p>
    <w:p>
      <w:pPr/>
      <w:r>
        <w:t>5.4. Không chia sẻ biểu phí và lãi suất ưu đãi trong Thỏa thuận này cho bên thứ ba.</w:t>
      </w:r>
    </w:p>
    <w:p>
      <w:pPr>
        <w:pStyle w:val="Heading1"/>
      </w:pPr>
      <w:r>
        <w:t>6. Bảo mật thông tin và tuân thủ</w:t>
      </w:r>
    </w:p>
    <w:p>
      <w:pPr>
        <w:jc w:val="both"/>
      </w:pPr>
      <w:r>
        <w:rPr>
          <w:i w:val="0"/>
        </w:rPr>
        <w:t>6.1. Mỗi bên bảo mật thông tin nhận được từ bên kia, chỉ sử dụng cho mục đích thực hiện Thỏa thuận. Việc xử lý dữ liệu cá nhân của Khách hàng Thụ hưởng tuân thủ pháp luật về bảo vệ dữ liệu cá nhân và phải có sự đồng ý của chủ thể dữ liệu.</w:t>
      </w:r>
    </w:p>
    <w:p>
      <w:pPr>
        <w:jc w:val="both"/>
      </w:pPr>
      <w:r>
        <w:rPr>
          <w:i w:val="0"/>
        </w:rPr>
        <w:t>6.2. Ngân hàng thực hiện nhận biết khách hàng, phòng chống rửa tiền và báo cáo giao dịch theo quy định. Nordvik hỗ trợ cung cấp giấy phép lao động, thẻ tạm trú và các giấy tờ cần thiết của chuyên gia nước ngoài.</w:t>
      </w:r>
    </w:p>
    <w:p>
      <w:pPr>
        <w:spacing w:before="280"/>
      </w:pPr>
      <w:r>
        <w:rPr>
          <w:b/>
          <w:color w:val="C05000"/>
        </w:rPr>
        <w:t>GHI CHÚ CỦA NGƯỜI SOẠN THẢO - Nội dung đã thống nhất tại buổi đàm phán ngày 18/09/2026, cần đưa vào Mục 7:</w:t>
      </w:r>
    </w:p>
    <w:p>
      <w:pPr/>
      <w:r>
        <w:t>Vay mua nhà: lãi suất cố định 6,2%/năm trong 12 tháng đầu, sau đó bằng Lãi suất tham chiếu + biên độ 1,8%/năm.</w:t>
      </w:r>
    </w:p>
    <w:p>
      <w:pPr/>
      <w:r>
        <w:t>Thấu chi không tài sản bảo đảm: tối đa 500 triệu đồng/chuyên gia, 1 tỷ đồng/thành viên Ban Giám đốc; lãi suất bằng Lãi suất tham chiếu + 3,5%/năm.</w:t>
      </w:r>
    </w:p>
    <w:p>
      <w:pPr/>
      <w:r>
        <w:t>Phí: miễn phí quản lý tài khoản và phí thường niên thẻ năm đầu; miễn phí 05 giao dịch chuyển tiền quốc tế/tháng/người; giảm 30% chênh lệch tỷ giá mua bán ngoại tệ.</w:t>
      </w:r>
    </w:p>
    <w:p>
      <w:pPr/>
      <w:r>
        <w:t>Điều kiện giải ngân: hợp đồng lao động còn hiệu lực tối thiểu 12 tháng; giấy phép lao động còn hiệu lực với người nước ngoài; Nordvik xác nhận thu nhập. Giải ngân trong 03 ngày làm việc kể từ khi đủ hồ sơ.</w:t>
      </w:r>
    </w:p>
    <w:p>
      <w:pPr/>
      <w:r>
        <w:t>Số dư cam kết tối thiểu: tổng số dư CASA bình quân quý của Nordvik và Khách hàng Thụ hưởng đạt tối thiểu 30 tỷ đồng.</w:t>
      </w:r>
    </w:p>
    <w:p>
      <w:pPr/>
      <w:r>
        <w:t>Chế tài: nếu không đạt số dư cam kết 02 quý liên tiếp, Ngân hàng được điều chỉnh ưu đãi phí về biểu phí chuẩn sau 30 ngày thông báo. Nếu Ngân hàng giải ngân trễ quá 02 lần trong một quý, Ngân hàng hoàn phí chuyển tiền quốc tế của quý đó. Mức phạt cụ thể chưa thống nhất.</w:t>
      </w:r>
    </w:p>
    <w:p>
      <w:pPr/>
      <w:r>
        <w:t>Chưa chốt: thời hạn cho vay tối đa với chuyên gia nước ngoài so với thời hạn giấy phép lao động (chờ Pháp chế và Tuân thủ ý kiến).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