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SỔ TAY SẢN PHẨM VÀ CHÍNH SÁCH KHÁCH HÀNG EXCLUSIVE</w:t>
      </w:r>
    </w:p>
    <w:p>
      <w:pPr>
        <w:jc w:val="center"/>
      </w:pPr>
      <w:r>
        <w:rPr>
          <w:i/>
          <w:sz w:val="20"/>
        </w:rPr>
        <w:t>Dành cho RM Ưu tiên  |  Phiên bản 3.2, hiệu lực từ 01/07/2026  |  Đơn vị quản lý: Phòng Sản phẩm Khách hàng Ưu tiên</w:t>
      </w:r>
    </w:p>
    <w:p>
      <w:pPr>
        <w:pStyle w:val="Heading1"/>
      </w:pPr>
      <w:r>
        <w:t>Mục 1. Hướng dẫn sử dụng Sổ tay</w:t>
      </w:r>
    </w:p>
    <w:p>
      <w:pPr>
        <w:jc w:val="both"/>
      </w:pPr>
      <w:r>
        <w:rPr>
          <w:i w:val="0"/>
        </w:rPr>
        <w:t>Sổ tay tổng hợp thông tin sản phẩm, biểu phí, điều kiện và thẩm quyền phê duyệt áp dụng cho khách hàng Exclusive. Trường hợp có khác biệt giữa Sổ tay và văn bản gốc, áp dụng văn bản gốc. Câu hỏi ngoài phạm vi Sổ tay, RM liên hệ Phòng Sản phẩm Khách hàng Ưu tiên qua hộp thư exclusive.product@mkb.example.</w:t>
      </w:r>
    </w:p>
    <w:p>
      <w:pPr>
        <w:pStyle w:val="Heading1"/>
      </w:pPr>
      <w:r>
        <w:t>Mục 2. Hạng thành viên và tiêu chí xét hạng</w:t>
      </w:r>
    </w:p>
    <w:p>
      <w:pPr>
        <w:jc w:val="both"/>
      </w:pPr>
      <w:r>
        <w:rPr>
          <w:i w:val="0"/>
        </w:rPr>
        <w:t>Hạng thành viên xét theo tổng tài sản bình quân 3 tháng gần nhất tại MKB (tiền gửi, chứng chỉ quỹ, trái phiếu phân phối qua MKB). Hạng được xét lại vào ngày làm việc đầu tiên mỗi quý; khách hàng không đạt tiêu chí được giữ hạng thêm 1 quý trước khi hạ hạng.</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0B3D5C"/>
          </w:tcPr>
          <w:p>
            <w:r/>
            <w:r>
              <w:rPr>
                <w:b/>
                <w:color w:val="FFFFFF"/>
                <w:sz w:val="20"/>
              </w:rPr>
              <w:t>Hạng</w:t>
            </w:r>
          </w:p>
        </w:tc>
        <w:tc>
          <w:tcPr>
            <w:tcW w:type="dxa" w:w="3402"/>
            <w:shd w:val="clear" w:color="auto" w:fill="0B3D5C"/>
          </w:tcPr>
          <w:p>
            <w:r/>
            <w:r>
              <w:rPr>
                <w:b/>
                <w:color w:val="FFFFFF"/>
                <w:sz w:val="20"/>
              </w:rPr>
              <w:t>Tổng tài sản bình quân 3 tháng</w:t>
            </w:r>
          </w:p>
        </w:tc>
        <w:tc>
          <w:tcPr>
            <w:tcW w:type="dxa" w:w="3402"/>
            <w:shd w:val="clear" w:color="auto" w:fill="0B3D5C"/>
          </w:tcPr>
          <w:p>
            <w:r/>
            <w:r>
              <w:rPr>
                <w:b/>
                <w:color w:val="FFFFFF"/>
                <w:sz w:val="20"/>
              </w:rPr>
              <w:t>RM phục vụ</w:t>
            </w:r>
          </w:p>
        </w:tc>
      </w:tr>
      <w:tr>
        <w:tc>
          <w:tcPr>
            <w:tcW w:type="dxa" w:w="2268"/>
          </w:tcPr>
          <w:p>
            <w:r/>
            <w:r>
              <w:rPr>
                <w:sz w:val="20"/>
              </w:rPr>
              <w:t>Exclusive Gold</w:t>
            </w:r>
          </w:p>
        </w:tc>
        <w:tc>
          <w:tcPr>
            <w:tcW w:type="dxa" w:w="3402"/>
          </w:tcPr>
          <w:p>
            <w:r/>
            <w:r>
              <w:rPr>
                <w:sz w:val="20"/>
              </w:rPr>
              <w:t>Từ 2 tỷ đến dưới 5 tỷ đồng</w:t>
            </w:r>
          </w:p>
        </w:tc>
        <w:tc>
          <w:tcPr>
            <w:tcW w:type="dxa" w:w="3402"/>
          </w:tcPr>
          <w:p>
            <w:r/>
            <w:r>
              <w:rPr>
                <w:sz w:val="20"/>
              </w:rPr>
              <w:t>RM Ưu tiên, tối đa 120 khách hàng/RM</w:t>
            </w:r>
          </w:p>
        </w:tc>
      </w:tr>
      <w:tr>
        <w:tc>
          <w:tcPr>
            <w:tcW w:type="dxa" w:w="2268"/>
          </w:tcPr>
          <w:p>
            <w:r/>
            <w:r>
              <w:rPr>
                <w:sz w:val="20"/>
              </w:rPr>
              <w:t>Exclusive Platinum</w:t>
            </w:r>
          </w:p>
        </w:tc>
        <w:tc>
          <w:tcPr>
            <w:tcW w:type="dxa" w:w="3402"/>
          </w:tcPr>
          <w:p>
            <w:r/>
            <w:r>
              <w:rPr>
                <w:sz w:val="20"/>
              </w:rPr>
              <w:t>Từ 5 tỷ đến dưới 15 tỷ đồng</w:t>
            </w:r>
          </w:p>
        </w:tc>
        <w:tc>
          <w:tcPr>
            <w:tcW w:type="dxa" w:w="3402"/>
          </w:tcPr>
          <w:p>
            <w:r/>
            <w:r>
              <w:rPr>
                <w:sz w:val="20"/>
              </w:rPr>
              <w:t>RM Ưu tiên cấp cao, tối đa 80 khách hàng/RM</w:t>
            </w:r>
          </w:p>
        </w:tc>
      </w:tr>
      <w:tr>
        <w:tc>
          <w:tcPr>
            <w:tcW w:type="dxa" w:w="2268"/>
          </w:tcPr>
          <w:p>
            <w:r/>
            <w:r>
              <w:rPr>
                <w:sz w:val="20"/>
              </w:rPr>
              <w:t>Exclusive Diamond</w:t>
            </w:r>
          </w:p>
        </w:tc>
        <w:tc>
          <w:tcPr>
            <w:tcW w:type="dxa" w:w="3402"/>
          </w:tcPr>
          <w:p>
            <w:r/>
            <w:r>
              <w:rPr>
                <w:sz w:val="20"/>
              </w:rPr>
              <w:t>Từ 15 tỷ đồng</w:t>
            </w:r>
          </w:p>
        </w:tc>
        <w:tc>
          <w:tcPr>
            <w:tcW w:type="dxa" w:w="3402"/>
          </w:tcPr>
          <w:p>
            <w:r/>
            <w:r>
              <w:rPr>
                <w:sz w:val="20"/>
              </w:rPr>
              <w:t>Senior RM kèm chuyên gia đầu tư, tối đa 40 khách hàng/RM</w:t>
            </w:r>
          </w:p>
        </w:tc>
      </w:tr>
    </w:tbl>
    <w:p/>
    <w:p>
      <w:pPr>
        <w:pStyle w:val="Heading1"/>
      </w:pPr>
      <w:r>
        <w:t>Mục 3. Sản phẩm tiền gửi</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0B3D5C"/>
          </w:tcPr>
          <w:p>
            <w:r/>
            <w:r>
              <w:rPr>
                <w:b/>
                <w:color w:val="FFFFFF"/>
                <w:sz w:val="20"/>
              </w:rPr>
              <w:t>Sản phẩm</w:t>
            </w:r>
          </w:p>
        </w:tc>
        <w:tc>
          <w:tcPr>
            <w:tcW w:type="dxa" w:w="1701"/>
            <w:shd w:val="clear" w:color="auto" w:fill="0B3D5C"/>
          </w:tcPr>
          <w:p>
            <w:r/>
            <w:r>
              <w:rPr>
                <w:b/>
                <w:color w:val="FFFFFF"/>
                <w:sz w:val="20"/>
              </w:rPr>
              <w:t>Gold</w:t>
            </w:r>
          </w:p>
        </w:tc>
        <w:tc>
          <w:tcPr>
            <w:tcW w:type="dxa" w:w="1701"/>
            <w:shd w:val="clear" w:color="auto" w:fill="0B3D5C"/>
          </w:tcPr>
          <w:p>
            <w:r/>
            <w:r>
              <w:rPr>
                <w:b/>
                <w:color w:val="FFFFFF"/>
                <w:sz w:val="20"/>
              </w:rPr>
              <w:t>Platinum</w:t>
            </w:r>
          </w:p>
        </w:tc>
        <w:tc>
          <w:tcPr>
            <w:tcW w:type="dxa" w:w="1701"/>
            <w:shd w:val="clear" w:color="auto" w:fill="0B3D5C"/>
          </w:tcPr>
          <w:p>
            <w:r/>
            <w:r>
              <w:rPr>
                <w:b/>
                <w:color w:val="FFFFFF"/>
                <w:sz w:val="20"/>
              </w:rPr>
              <w:t>Diamond</w:t>
            </w:r>
          </w:p>
        </w:tc>
      </w:tr>
      <w:tr>
        <w:tc>
          <w:tcPr>
            <w:tcW w:type="dxa" w:w="3969"/>
          </w:tcPr>
          <w:p>
            <w:r/>
            <w:r>
              <w:rPr>
                <w:sz w:val="20"/>
              </w:rPr>
              <w:t>Tiền gửi có kỳ hạn: lãi suất cộng thêm so với niêm yết</w:t>
            </w:r>
          </w:p>
        </w:tc>
        <w:tc>
          <w:tcPr>
            <w:tcW w:type="dxa" w:w="1701"/>
          </w:tcPr>
          <w:p>
            <w:r/>
            <w:r>
              <w:rPr>
                <w:sz w:val="20"/>
              </w:rPr>
              <w:t>+0,2%/năm</w:t>
            </w:r>
          </w:p>
        </w:tc>
        <w:tc>
          <w:tcPr>
            <w:tcW w:type="dxa" w:w="1701"/>
          </w:tcPr>
          <w:p>
            <w:r/>
            <w:r>
              <w:rPr>
                <w:sz w:val="20"/>
              </w:rPr>
              <w:t>+0,3%/năm</w:t>
            </w:r>
          </w:p>
        </w:tc>
        <w:tc>
          <w:tcPr>
            <w:tcW w:type="dxa" w:w="1701"/>
          </w:tcPr>
          <w:p>
            <w:r/>
            <w:r>
              <w:rPr>
                <w:sz w:val="20"/>
              </w:rPr>
              <w:t>+0,5%/năm</w:t>
            </w:r>
          </w:p>
        </w:tc>
      </w:tr>
      <w:tr>
        <w:tc>
          <w:tcPr>
            <w:tcW w:type="dxa" w:w="3969"/>
          </w:tcPr>
          <w:p>
            <w:r/>
            <w:r>
              <w:rPr>
                <w:sz w:val="20"/>
              </w:rPr>
              <w:t>Lãi suất CASA cho số dư trên 500 triệu đồng</w:t>
            </w:r>
          </w:p>
        </w:tc>
        <w:tc>
          <w:tcPr>
            <w:tcW w:type="dxa" w:w="1701"/>
          </w:tcPr>
          <w:p>
            <w:r/>
            <w:r>
              <w:rPr>
                <w:sz w:val="20"/>
              </w:rPr>
              <w:t>0,3%/năm</w:t>
            </w:r>
          </w:p>
        </w:tc>
        <w:tc>
          <w:tcPr>
            <w:tcW w:type="dxa" w:w="1701"/>
          </w:tcPr>
          <w:p>
            <w:r/>
            <w:r>
              <w:rPr>
                <w:sz w:val="20"/>
              </w:rPr>
              <w:t>0,5%/năm</w:t>
            </w:r>
          </w:p>
        </w:tc>
        <w:tc>
          <w:tcPr>
            <w:tcW w:type="dxa" w:w="1701"/>
          </w:tcPr>
          <w:p>
            <w:r/>
            <w:r>
              <w:rPr>
                <w:sz w:val="20"/>
              </w:rPr>
              <w:t>0,8%/năm</w:t>
            </w:r>
          </w:p>
        </w:tc>
      </w:tr>
      <w:tr>
        <w:tc>
          <w:tcPr>
            <w:tcW w:type="dxa" w:w="3969"/>
          </w:tcPr>
          <w:p>
            <w:r/>
            <w:r>
              <w:rPr>
                <w:sz w:val="20"/>
              </w:rPr>
              <w:t>Rút trước hạn</w:t>
            </w:r>
          </w:p>
        </w:tc>
        <w:tc>
          <w:tcPr>
            <w:tcW w:type="dxa" w:w="1701"/>
          </w:tcPr>
          <w:p>
            <w:r/>
            <w:r>
              <w:rPr>
                <w:sz w:val="20"/>
              </w:rPr>
              <w:t>Theo lãi suất không kỳ hạn</w:t>
            </w:r>
          </w:p>
        </w:tc>
        <w:tc>
          <w:tcPr>
            <w:tcW w:type="dxa" w:w="1701"/>
          </w:tcPr>
          <w:p>
            <w:r/>
            <w:r>
              <w:rPr>
                <w:sz w:val="20"/>
              </w:rPr>
              <w:t>Theo lãi suất không kỳ hạn</w:t>
            </w:r>
          </w:p>
        </w:tc>
        <w:tc>
          <w:tcPr>
            <w:tcW w:type="dxa" w:w="1701"/>
          </w:tcPr>
          <w:p>
            <w:r/>
            <w:r>
              <w:rPr>
                <w:sz w:val="20"/>
              </w:rPr>
              <w:t>Giữ 50% lãi suất kỳ hạn nếu gửi trên 6 tháng</w:t>
            </w:r>
          </w:p>
        </w:tc>
      </w:tr>
    </w:tbl>
    <w:p/>
    <w:p>
      <w:pPr>
        <w:pStyle w:val="Heading1"/>
      </w:pPr>
      <w:r>
        <w:t>Mục 4. Sản phẩm tín dụng</w:t>
      </w:r>
    </w:p>
    <w:p>
      <w:pPr>
        <w:pStyle w:val="Heading2"/>
      </w:pPr>
      <w:r>
        <w:t>4.1. Hạn mức tối đa theo hạng</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402"/>
            <w:shd w:val="clear" w:color="auto" w:fill="0B3D5C"/>
          </w:tcPr>
          <w:p>
            <w:r/>
            <w:r>
              <w:rPr>
                <w:b/>
                <w:color w:val="FFFFFF"/>
                <w:sz w:val="20"/>
              </w:rPr>
              <w:t>Sản phẩm</w:t>
            </w:r>
          </w:p>
        </w:tc>
        <w:tc>
          <w:tcPr>
            <w:tcW w:type="dxa" w:w="1984"/>
            <w:shd w:val="clear" w:color="auto" w:fill="0B3D5C"/>
          </w:tcPr>
          <w:p>
            <w:r/>
            <w:r>
              <w:rPr>
                <w:b/>
                <w:color w:val="FFFFFF"/>
                <w:sz w:val="20"/>
              </w:rPr>
              <w:t>Gold</w:t>
            </w:r>
          </w:p>
        </w:tc>
        <w:tc>
          <w:tcPr>
            <w:tcW w:type="dxa" w:w="1984"/>
            <w:shd w:val="clear" w:color="auto" w:fill="0B3D5C"/>
          </w:tcPr>
          <w:p>
            <w:r/>
            <w:r>
              <w:rPr>
                <w:b/>
                <w:color w:val="FFFFFF"/>
                <w:sz w:val="20"/>
              </w:rPr>
              <w:t>Platinum</w:t>
            </w:r>
          </w:p>
        </w:tc>
        <w:tc>
          <w:tcPr>
            <w:tcW w:type="dxa" w:w="1984"/>
            <w:shd w:val="clear" w:color="auto" w:fill="0B3D5C"/>
          </w:tcPr>
          <w:p>
            <w:r/>
            <w:r>
              <w:rPr>
                <w:b/>
                <w:color w:val="FFFFFF"/>
                <w:sz w:val="20"/>
              </w:rPr>
              <w:t>Diamond</w:t>
            </w:r>
          </w:p>
        </w:tc>
      </w:tr>
      <w:tr>
        <w:tc>
          <w:tcPr>
            <w:tcW w:type="dxa" w:w="3402"/>
          </w:tcPr>
          <w:p>
            <w:r/>
            <w:r>
              <w:rPr>
                <w:sz w:val="20"/>
              </w:rPr>
              <w:t>Thấu chi không tài sản bảo đảm</w:t>
            </w:r>
          </w:p>
        </w:tc>
        <w:tc>
          <w:tcPr>
            <w:tcW w:type="dxa" w:w="1984"/>
          </w:tcPr>
          <w:p>
            <w:r/>
            <w:r>
              <w:rPr>
                <w:sz w:val="20"/>
              </w:rPr>
              <w:t>300 triệu đồng</w:t>
            </w:r>
          </w:p>
        </w:tc>
        <w:tc>
          <w:tcPr>
            <w:tcW w:type="dxa" w:w="1984"/>
          </w:tcPr>
          <w:p>
            <w:r/>
            <w:r>
              <w:rPr>
                <w:sz w:val="20"/>
              </w:rPr>
              <w:t>800 triệu đồng</w:t>
            </w:r>
          </w:p>
        </w:tc>
        <w:tc>
          <w:tcPr>
            <w:tcW w:type="dxa" w:w="1984"/>
          </w:tcPr>
          <w:p>
            <w:r/>
            <w:r>
              <w:rPr>
                <w:sz w:val="20"/>
              </w:rPr>
              <w:t>2 tỷ đồng</w:t>
            </w:r>
          </w:p>
        </w:tc>
      </w:tr>
      <w:tr>
        <w:tc>
          <w:tcPr>
            <w:tcW w:type="dxa" w:w="3402"/>
          </w:tcPr>
          <w:p>
            <w:r/>
            <w:r>
              <w:rPr>
                <w:sz w:val="20"/>
              </w:rPr>
              <w:t>Thẻ tín dụng quốc tế</w:t>
            </w:r>
          </w:p>
        </w:tc>
        <w:tc>
          <w:tcPr>
            <w:tcW w:type="dxa" w:w="1984"/>
          </w:tcPr>
          <w:p>
            <w:r/>
            <w:r>
              <w:rPr>
                <w:sz w:val="20"/>
              </w:rPr>
              <w:t>Hạng Gold, đến 200 triệu</w:t>
            </w:r>
          </w:p>
        </w:tc>
        <w:tc>
          <w:tcPr>
            <w:tcW w:type="dxa" w:w="1984"/>
          </w:tcPr>
          <w:p>
            <w:r/>
            <w:r>
              <w:rPr>
                <w:sz w:val="20"/>
              </w:rPr>
              <w:t>Hạng Platinum, đến 500 triệu</w:t>
            </w:r>
          </w:p>
        </w:tc>
        <w:tc>
          <w:tcPr>
            <w:tcW w:type="dxa" w:w="1984"/>
          </w:tcPr>
          <w:p>
            <w:r/>
            <w:r>
              <w:rPr>
                <w:sz w:val="20"/>
              </w:rPr>
              <w:t>Hạng Infinite, đến 1,5 tỷ</w:t>
            </w:r>
          </w:p>
        </w:tc>
      </w:tr>
      <w:tr>
        <w:tc>
          <w:tcPr>
            <w:tcW w:type="dxa" w:w="3402"/>
          </w:tcPr>
          <w:p>
            <w:r/>
            <w:r>
              <w:rPr>
                <w:sz w:val="20"/>
              </w:rPr>
              <w:t>Cầm cố sổ tiết kiệm, giấy tờ có giá</w:t>
            </w:r>
          </w:p>
        </w:tc>
        <w:tc>
          <w:tcPr>
            <w:tcW w:type="dxa" w:w="1984"/>
          </w:tcPr>
          <w:p>
            <w:r/>
            <w:r>
              <w:rPr>
                <w:sz w:val="20"/>
              </w:rPr>
              <w:t>95% giá trị</w:t>
            </w:r>
          </w:p>
        </w:tc>
        <w:tc>
          <w:tcPr>
            <w:tcW w:type="dxa" w:w="1984"/>
          </w:tcPr>
          <w:p>
            <w:r/>
            <w:r>
              <w:rPr>
                <w:sz w:val="20"/>
              </w:rPr>
              <w:t>95% giá trị</w:t>
            </w:r>
          </w:p>
        </w:tc>
        <w:tc>
          <w:tcPr>
            <w:tcW w:type="dxa" w:w="1984"/>
          </w:tcPr>
          <w:p>
            <w:r/>
            <w:r>
              <w:rPr>
                <w:sz w:val="20"/>
              </w:rPr>
              <w:t>100% giá trị</w:t>
            </w:r>
          </w:p>
        </w:tc>
      </w:tr>
      <w:tr>
        <w:tc>
          <w:tcPr>
            <w:tcW w:type="dxa" w:w="3402"/>
          </w:tcPr>
          <w:p>
            <w:r/>
            <w:r>
              <w:rPr>
                <w:sz w:val="20"/>
              </w:rPr>
              <w:t>Vay mua nhà, biên độ trên lãi suất tham chiếu</w:t>
            </w:r>
          </w:p>
        </w:tc>
        <w:tc>
          <w:tcPr>
            <w:tcW w:type="dxa" w:w="1984"/>
          </w:tcPr>
          <w:p>
            <w:r/>
            <w:r>
              <w:rPr>
                <w:sz w:val="20"/>
              </w:rPr>
              <w:t>+2,2%/năm</w:t>
            </w:r>
          </w:p>
        </w:tc>
        <w:tc>
          <w:tcPr>
            <w:tcW w:type="dxa" w:w="1984"/>
          </w:tcPr>
          <w:p>
            <w:r/>
            <w:r>
              <w:rPr>
                <w:sz w:val="20"/>
              </w:rPr>
              <w:t>+2,0%/năm</w:t>
            </w:r>
          </w:p>
        </w:tc>
        <w:tc>
          <w:tcPr>
            <w:tcW w:type="dxa" w:w="1984"/>
          </w:tcPr>
          <w:p>
            <w:r/>
            <w:r>
              <w:rPr>
                <w:sz w:val="20"/>
              </w:rPr>
              <w:t>+1,8%/năm</w:t>
            </w:r>
          </w:p>
        </w:tc>
      </w:tr>
    </w:tbl>
    <w:p/>
    <w:p>
      <w:pPr>
        <w:pStyle w:val="Heading2"/>
      </w:pPr>
      <w:r>
        <w:t>4.2. Thẩm quyền phê duyệt</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0B3D5C"/>
          </w:tcPr>
          <w:p>
            <w:r/>
            <w:r>
              <w:rPr>
                <w:b/>
                <w:color w:val="FFFFFF"/>
                <w:sz w:val="20"/>
              </w:rPr>
              <w:t>Mức hạn mức không tài sản bảo đảm</w:t>
            </w:r>
          </w:p>
        </w:tc>
        <w:tc>
          <w:tcPr>
            <w:tcW w:type="dxa" w:w="5102"/>
            <w:shd w:val="clear" w:color="auto" w:fill="0B3D5C"/>
          </w:tcPr>
          <w:p>
            <w:r/>
            <w:r>
              <w:rPr>
                <w:b/>
                <w:color w:val="FFFFFF"/>
                <w:sz w:val="20"/>
              </w:rPr>
              <w:t>Cấp phê duyệt</w:t>
            </w:r>
          </w:p>
        </w:tc>
      </w:tr>
      <w:tr>
        <w:tc>
          <w:tcPr>
            <w:tcW w:type="dxa" w:w="3969"/>
          </w:tcPr>
          <w:p>
            <w:r/>
            <w:r>
              <w:rPr>
                <w:sz w:val="20"/>
              </w:rPr>
              <w:t>Đến 500 triệu đồng</w:t>
            </w:r>
          </w:p>
        </w:tc>
        <w:tc>
          <w:tcPr>
            <w:tcW w:type="dxa" w:w="5102"/>
          </w:tcPr>
          <w:p>
            <w:r/>
            <w:r>
              <w:rPr>
                <w:sz w:val="20"/>
              </w:rPr>
              <w:t>Giám đốc Trung tâm Exclusive</w:t>
            </w:r>
          </w:p>
        </w:tc>
      </w:tr>
      <w:tr>
        <w:tc>
          <w:tcPr>
            <w:tcW w:type="dxa" w:w="3969"/>
          </w:tcPr>
          <w:p>
            <w:r/>
            <w:r>
              <w:rPr>
                <w:sz w:val="20"/>
              </w:rPr>
              <w:t>Trên 500 triệu đến 1 tỷ đồng</w:t>
            </w:r>
          </w:p>
        </w:tc>
        <w:tc>
          <w:tcPr>
            <w:tcW w:type="dxa" w:w="5102"/>
          </w:tcPr>
          <w:p>
            <w:r/>
            <w:r>
              <w:rPr>
                <w:sz w:val="20"/>
              </w:rPr>
              <w:t>Giám đốc Khối Exclusive Banking Vùng</w:t>
            </w:r>
          </w:p>
        </w:tc>
      </w:tr>
      <w:tr>
        <w:tc>
          <w:tcPr>
            <w:tcW w:type="dxa" w:w="3969"/>
          </w:tcPr>
          <w:p>
            <w:r/>
            <w:r>
              <w:rPr>
                <w:sz w:val="20"/>
              </w:rPr>
              <w:t>Trên 1 tỷ đến 2 tỷ đồng</w:t>
            </w:r>
          </w:p>
        </w:tc>
        <w:tc>
          <w:tcPr>
            <w:tcW w:type="dxa" w:w="5102"/>
          </w:tcPr>
          <w:p>
            <w:r/>
            <w:r>
              <w:rPr>
                <w:sz w:val="20"/>
              </w:rPr>
              <w:t>Hội đồng Tín dụng Khối Khách hàng Ưu tiên, sau khi Khối Tín dụng thẩm định độc lập</w:t>
            </w:r>
          </w:p>
        </w:tc>
      </w:tr>
      <w:tr>
        <w:tc>
          <w:tcPr>
            <w:tcW w:type="dxa" w:w="3969"/>
          </w:tcPr>
          <w:p>
            <w:r/>
            <w:r>
              <w:rPr>
                <w:sz w:val="20"/>
              </w:rPr>
              <w:t>Vượt hạn mức tối đa theo hạng</w:t>
            </w:r>
          </w:p>
        </w:tc>
        <w:tc>
          <w:tcPr>
            <w:tcW w:type="dxa" w:w="5102"/>
          </w:tcPr>
          <w:p>
            <w:r/>
            <w:r>
              <w:rPr>
                <w:sz w:val="20"/>
              </w:rPr>
              <w:t>Phê duyệt ngoại lệ của Phó Tổng Giám đốc phụ trách Khối</w:t>
            </w:r>
          </w:p>
        </w:tc>
      </w:tr>
    </w:tbl>
    <w:p/>
    <w:p>
      <w:pPr>
        <w:pStyle w:val="Heading2"/>
      </w:pPr>
      <w:r>
        <w:t>4.3. Hồ sơ đề nghị thấu chi không tài sản bảo đảm</w:t>
      </w:r>
    </w:p>
    <w:p>
      <w:pPr>
        <w:pStyle w:val="ListBullet"/>
      </w:pPr>
      <w:r>
        <w:t>Giấy đề nghị cấp hạn mức theo mẫu TD-EX-01.</w:t>
      </w:r>
    </w:p>
    <w:p>
      <w:pPr>
        <w:pStyle w:val="ListBullet"/>
      </w:pPr>
      <w:r>
        <w:t>CCCD hoặc hộ chiếu còn hiệu lực; với người nước ngoài: giấy phép lao động và thẻ tạm trú còn hiệu lực tối thiểu 12 tháng.</w:t>
      </w:r>
    </w:p>
    <w:p>
      <w:pPr>
        <w:pStyle w:val="ListBullet"/>
      </w:pPr>
      <w:r>
        <w:t>Chứng minh thu nhập 06 tháng gần nhất (sao kê lương hoặc xác nhận của đơn vị chi trả).</w:t>
      </w:r>
    </w:p>
    <w:p>
      <w:pPr>
        <w:pStyle w:val="ListBullet"/>
      </w:pPr>
      <w:r>
        <w:t>Kết quả tra cứu thông tin tín dụng: không có nợ nhóm 2 trở lên trong 12 tháng gần nhất.</w:t>
      </w:r>
    </w:p>
    <w:p>
      <w:pPr>
        <w:pStyle w:val="ListBullet"/>
      </w:pPr>
      <w:r>
        <w:t>Với hạn mức trên 1 tỷ đồng: bổ sung báo cáo tài sản và tờ trình thẩm định của Khối Tín dụng.</w:t>
      </w:r>
    </w:p>
    <w:p>
      <w:pPr>
        <w:pStyle w:val="Heading1"/>
      </w:pPr>
      <w:r>
        <w:t>Mục 5. Bancassurance - quy định khi tư vấn bảo hiểm</w:t>
      </w:r>
    </w:p>
    <w:p>
      <w:pPr>
        <w:pStyle w:val="ListBullet"/>
      </w:pPr>
      <w:r>
        <w:t>Không yêu cầu, không gợi ý khách hàng mua bảo hiểm như điều kiện để được vay, được giải ngân hay hưởng lãi suất ưu đãi.</w:t>
      </w:r>
    </w:p>
    <w:p>
      <w:pPr>
        <w:pStyle w:val="ListBullet"/>
      </w:pPr>
      <w:r>
        <w:t>Không giới thiệu bảo hiểm liên kết đầu tư cho khách hàng có khoản vay tại MKB trong khoảng 60 ngày trước và sau ngày giải ngân.</w:t>
      </w:r>
    </w:p>
    <w:p>
      <w:pPr>
        <w:pStyle w:val="ListBullet"/>
      </w:pPr>
      <w:r>
        <w:t>Chỉ RM có chứng chỉ đại lý bảo hiểm còn hiệu lực mới được tư vấn. Buổi tư vấn bảo hiểm liên kết đầu tư phải được ghi âm hoặc ghi hình và lưu trữ.</w:t>
      </w:r>
    </w:p>
    <w:p>
      <w:pPr>
        <w:pStyle w:val="ListBullet"/>
      </w:pPr>
      <w:r>
        <w:t>Giải thích rõ thời gian cân nhắc 21 ngày, quyền hủy hợp đồng trong thời gian này và các khoản phí.</w:t>
      </w:r>
    </w:p>
    <w:p>
      <w:pPr>
        <w:pStyle w:val="ListBullet"/>
      </w:pPr>
      <w:r>
        <w:t>Không trình bày bảo hiểm như sản phẩm tiền gửi và không cam kết lợi nhuận đầu tư.</w:t>
      </w:r>
    </w:p>
    <w:p>
      <w:pPr>
        <w:pStyle w:val="Heading1"/>
      </w:pPr>
      <w:r>
        <w:t>Mục 6. Wealth management - trái phiếu và chứng chỉ quỹ</w:t>
      </w:r>
    </w:p>
    <w:p>
      <w:pPr>
        <w:pStyle w:val="ListBullet"/>
      </w:pPr>
      <w:r>
        <w:t>Đánh giá mức độ phù hợp (khẩu vị rủi ro) trước giao dịch đầu tiên và cập nhật tối thiểu 12 tháng một lần.</w:t>
      </w:r>
    </w:p>
    <w:p>
      <w:pPr>
        <w:pStyle w:val="ListBullet"/>
      </w:pPr>
      <w:r>
        <w:t>Trái phiếu doanh nghiệp phát hành riêng lẻ chỉ dành cho nhà đầu tư chứng khoán chuyên nghiệp theo quy định.</w:t>
      </w:r>
    </w:p>
    <w:p>
      <w:pPr>
        <w:pStyle w:val="ListBullet"/>
      </w:pPr>
      <w:r>
        <w:t>Phí giao dịch chứng chỉ quỹ: Gold giảm 20%, Platinum giảm 35%, Diamond miễn phí so với biểu phí của công ty quản lý quỹ.</w:t>
      </w:r>
    </w:p>
    <w:p>
      <w:pPr>
        <w:pStyle w:val="ListBullet"/>
      </w:pPr>
      <w:r>
        <w:t>Không cam kết hoặc gợi ý mức lợi nhuận chắc chắn; mọi tài liệu tư vấn phải nêu rõ rủi ro.</w:t>
      </w:r>
    </w:p>
    <w:p>
      <w:pPr>
        <w:pStyle w:val="Heading1"/>
      </w:pPr>
      <w:r>
        <w:t>Mục 7. Biểu phí dịch vụ</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0B3D5C"/>
          </w:tcPr>
          <w:p>
            <w:r/>
            <w:r>
              <w:rPr>
                <w:b/>
                <w:color w:val="FFFFFF"/>
                <w:sz w:val="20"/>
              </w:rPr>
              <w:t>Dịch vụ</w:t>
            </w:r>
          </w:p>
        </w:tc>
        <w:tc>
          <w:tcPr>
            <w:tcW w:type="dxa" w:w="2268"/>
            <w:shd w:val="clear" w:color="auto" w:fill="0B3D5C"/>
          </w:tcPr>
          <w:p>
            <w:r/>
            <w:r>
              <w:rPr>
                <w:b/>
                <w:color w:val="FFFFFF"/>
                <w:sz w:val="20"/>
              </w:rPr>
              <w:t>Gold</w:t>
            </w:r>
          </w:p>
        </w:tc>
        <w:tc>
          <w:tcPr>
            <w:tcW w:type="dxa" w:w="2268"/>
            <w:shd w:val="clear" w:color="auto" w:fill="0B3D5C"/>
          </w:tcPr>
          <w:p>
            <w:r/>
            <w:r>
              <w:rPr>
                <w:b/>
                <w:color w:val="FFFFFF"/>
                <w:sz w:val="20"/>
              </w:rPr>
              <w:t>Platinum</w:t>
            </w:r>
          </w:p>
        </w:tc>
        <w:tc>
          <w:tcPr>
            <w:tcW w:type="dxa" w:w="2268"/>
            <w:shd w:val="clear" w:color="auto" w:fill="0B3D5C"/>
          </w:tcPr>
          <w:p>
            <w:r/>
            <w:r>
              <w:rPr>
                <w:b/>
                <w:color w:val="FFFFFF"/>
                <w:sz w:val="20"/>
              </w:rPr>
              <w:t>Diamond</w:t>
            </w:r>
          </w:p>
        </w:tc>
      </w:tr>
      <w:tr>
        <w:tc>
          <w:tcPr>
            <w:tcW w:type="dxa" w:w="2268"/>
          </w:tcPr>
          <w:p>
            <w:r/>
            <w:r>
              <w:rPr>
                <w:sz w:val="20"/>
              </w:rPr>
              <w:t>Phí quản lý tài khoản</w:t>
            </w:r>
          </w:p>
        </w:tc>
        <w:tc>
          <w:tcPr>
            <w:tcW w:type="dxa" w:w="2268"/>
          </w:tcPr>
          <w:p>
            <w:r/>
            <w:r>
              <w:rPr>
                <w:sz w:val="20"/>
              </w:rPr>
              <w:t>Miễn phí</w:t>
            </w:r>
          </w:p>
        </w:tc>
        <w:tc>
          <w:tcPr>
            <w:tcW w:type="dxa" w:w="2268"/>
          </w:tcPr>
          <w:p>
            <w:r/>
            <w:r>
              <w:rPr>
                <w:sz w:val="20"/>
              </w:rPr>
              <w:t>Miễn phí</w:t>
            </w:r>
          </w:p>
        </w:tc>
        <w:tc>
          <w:tcPr>
            <w:tcW w:type="dxa" w:w="2268"/>
          </w:tcPr>
          <w:p>
            <w:r/>
            <w:r>
              <w:rPr>
                <w:sz w:val="20"/>
              </w:rPr>
              <w:t>Miễn phí</w:t>
            </w:r>
          </w:p>
        </w:tc>
      </w:tr>
      <w:tr>
        <w:tc>
          <w:tcPr>
            <w:tcW w:type="dxa" w:w="2268"/>
          </w:tcPr>
          <w:p>
            <w:r/>
            <w:r>
              <w:rPr>
                <w:sz w:val="20"/>
              </w:rPr>
              <w:t>Chuyển tiền quốc tế</w:t>
            </w:r>
          </w:p>
        </w:tc>
        <w:tc>
          <w:tcPr>
            <w:tcW w:type="dxa" w:w="2268"/>
          </w:tcPr>
          <w:p>
            <w:r/>
            <w:r>
              <w:rPr>
                <w:sz w:val="20"/>
              </w:rPr>
              <w:t>Miễn 2 giao dịch/tháng; sau đó 0,05% (tối thiểu 5 USD, tối đa 150 USD)</w:t>
            </w:r>
          </w:p>
        </w:tc>
        <w:tc>
          <w:tcPr>
            <w:tcW w:type="dxa" w:w="2268"/>
          </w:tcPr>
          <w:p>
            <w:r/>
            <w:r>
              <w:rPr>
                <w:sz w:val="20"/>
              </w:rPr>
              <w:t>Miễn 5 giao dịch/tháng; sau đó 0,03% (tối thiểu 5 USD, tối đa 100 USD)</w:t>
            </w:r>
          </w:p>
        </w:tc>
        <w:tc>
          <w:tcPr>
            <w:tcW w:type="dxa" w:w="2268"/>
          </w:tcPr>
          <w:p>
            <w:r/>
            <w:r>
              <w:rPr>
                <w:sz w:val="20"/>
              </w:rPr>
              <w:t>Miễn phí không giới hạn</w:t>
            </w:r>
          </w:p>
        </w:tc>
      </w:tr>
      <w:tr>
        <w:tc>
          <w:tcPr>
            <w:tcW w:type="dxa" w:w="2268"/>
          </w:tcPr>
          <w:p>
            <w:r/>
            <w:r>
              <w:rPr>
                <w:sz w:val="20"/>
              </w:rPr>
              <w:t>Giảm chênh lệch tỷ giá mua bán</w:t>
            </w:r>
          </w:p>
        </w:tc>
        <w:tc>
          <w:tcPr>
            <w:tcW w:type="dxa" w:w="2268"/>
          </w:tcPr>
          <w:p>
            <w:r/>
            <w:r>
              <w:rPr>
                <w:sz w:val="20"/>
              </w:rPr>
              <w:t>15%</w:t>
            </w:r>
          </w:p>
        </w:tc>
        <w:tc>
          <w:tcPr>
            <w:tcW w:type="dxa" w:w="2268"/>
          </w:tcPr>
          <w:p>
            <w:r/>
            <w:r>
              <w:rPr>
                <w:sz w:val="20"/>
              </w:rPr>
              <w:t>25%</w:t>
            </w:r>
          </w:p>
        </w:tc>
        <w:tc>
          <w:tcPr>
            <w:tcW w:type="dxa" w:w="2268"/>
          </w:tcPr>
          <w:p>
            <w:r/>
            <w:r>
              <w:rPr>
                <w:sz w:val="20"/>
              </w:rPr>
              <w:t>40%</w:t>
            </w:r>
          </w:p>
        </w:tc>
      </w:tr>
      <w:tr>
        <w:tc>
          <w:tcPr>
            <w:tcW w:type="dxa" w:w="2268"/>
          </w:tcPr>
          <w:p>
            <w:r/>
            <w:r>
              <w:rPr>
                <w:sz w:val="20"/>
              </w:rPr>
              <w:t>Phí thường niên thẻ tín dụng</w:t>
            </w:r>
          </w:p>
        </w:tc>
        <w:tc>
          <w:tcPr>
            <w:tcW w:type="dxa" w:w="2268"/>
          </w:tcPr>
          <w:p>
            <w:r/>
            <w:r>
              <w:rPr>
                <w:sz w:val="20"/>
              </w:rPr>
              <w:t>Miễn năm đầu</w:t>
            </w:r>
          </w:p>
        </w:tc>
        <w:tc>
          <w:tcPr>
            <w:tcW w:type="dxa" w:w="2268"/>
          </w:tcPr>
          <w:p>
            <w:r/>
            <w:r>
              <w:rPr>
                <w:sz w:val="20"/>
              </w:rPr>
              <w:t>Miễn năm đầu</w:t>
            </w:r>
          </w:p>
        </w:tc>
        <w:tc>
          <w:tcPr>
            <w:tcW w:type="dxa" w:w="2268"/>
          </w:tcPr>
          <w:p>
            <w:r/>
            <w:r>
              <w:rPr>
                <w:sz w:val="20"/>
              </w:rPr>
              <w:t>Miễn trọn đời</w:t>
            </w:r>
          </w:p>
        </w:tc>
      </w:tr>
      <w:tr>
        <w:tc>
          <w:tcPr>
            <w:tcW w:type="dxa" w:w="2268"/>
          </w:tcPr>
          <w:p>
            <w:r/>
            <w:r>
              <w:rPr>
                <w:sz w:val="20"/>
              </w:rPr>
              <w:t>Rút tiền mặt tại quầy khác tỉnh</w:t>
            </w:r>
          </w:p>
        </w:tc>
        <w:tc>
          <w:tcPr>
            <w:tcW w:type="dxa" w:w="2268"/>
          </w:tcPr>
          <w:p>
            <w:r/>
            <w:r>
              <w:rPr>
                <w:sz w:val="20"/>
              </w:rPr>
              <w:t>0,02%</w:t>
            </w:r>
          </w:p>
        </w:tc>
        <w:tc>
          <w:tcPr>
            <w:tcW w:type="dxa" w:w="2268"/>
          </w:tcPr>
          <w:p>
            <w:r/>
            <w:r>
              <w:rPr>
                <w:sz w:val="20"/>
              </w:rPr>
              <w:t>Miễn phí</w:t>
            </w:r>
          </w:p>
        </w:tc>
        <w:tc>
          <w:tcPr>
            <w:tcW w:type="dxa" w:w="2268"/>
          </w:tcPr>
          <w:p>
            <w:r/>
            <w:r>
              <w:rPr>
                <w:sz w:val="20"/>
              </w:rPr>
              <w:t>Miễn phí</w:t>
            </w:r>
          </w:p>
        </w:tc>
      </w:tr>
    </w:tbl>
    <w:p/>
    <w:p>
      <w:pPr>
        <w:pStyle w:val="Heading1"/>
      </w:pPr>
      <w:r>
        <w:t>Mục 8. Nhận biết khách hàng (KYC)</w:t>
      </w:r>
    </w:p>
    <w:p>
      <w:pPr>
        <w:pStyle w:val="ListBullet"/>
      </w:pPr>
      <w:r>
        <w:t>Xác minh nguồn gốc tài sản với khách hàng có tổng tài sản trên 15 tỷ đồng hoặc giao dịch tiền mặt từ 400 triệu đồng.</w:t>
      </w:r>
    </w:p>
    <w:p>
      <w:pPr>
        <w:pStyle w:val="ListBullet"/>
      </w:pPr>
      <w:r>
        <w:t>Khách hàng là người có ảnh hưởng chính trị (PEP): cần phê duyệt của Giám đốc Khối Exclusive Banking Vùng trước khi mở quan hệ.</w:t>
      </w:r>
    </w:p>
    <w:p>
      <w:pPr>
        <w:pStyle w:val="ListBullet"/>
      </w:pPr>
      <w:r>
        <w:t>Cập nhật thông tin KYC định kỳ: 12 tháng với Diamond, 24 tháng với Gold và Platinum.</w:t>
      </w:r>
    </w:p>
    <w:p>
      <w:pPr>
        <w:pStyle w:val="ListBullet"/>
      </w:pPr>
      <w:r>
        <w:t>Tuyệt đối không gửi ảnh giấy tờ tùy thân của khách hàng qua ứng dụng nhắn tin cá nhân.</w:t>
      </w:r>
    </w:p>
    <w:p>
      <w:pPr>
        <w:pStyle w:val="Heading1"/>
      </w:pPr>
      <w:r>
        <w:t>Mục 9. Đặc quyền phi tài chính</w:t>
      </w:r>
    </w:p>
    <w:p>
      <w:pPr>
        <w:pStyle w:val="ListBullet"/>
      </w:pPr>
      <w:r>
        <w:t>Phòng chờ sân bay: Gold 4 lượt/năm, Platinum 8 lượt/năm, Diamond không giới hạn kèm 1 người đi cùng.</w:t>
      </w:r>
    </w:p>
    <w:p>
      <w:pPr>
        <w:pStyle w:val="ListBullet"/>
      </w:pPr>
      <w:r>
        <w:t>Khám sức khỏe tổng quát hằng năm: Platinum và Diamond.</w:t>
      </w:r>
    </w:p>
    <w:p>
      <w:pPr>
        <w:pStyle w:val="ListBullet"/>
      </w:pPr>
      <w:r>
        <w:t>Hotline Exclusive 24/7 và ưu tiên xử lý giao dịch tại quầy trong 10 phút.</w:t>
      </w:r>
    </w:p>
    <w:p>
      <w:pPr>
        <w:pStyle w:val="Heading1"/>
      </w:pPr>
      <w:r>
        <w:t>Mục 10. Đầu mối liên hệ</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0B3D5C"/>
          </w:tcPr>
          <w:p>
            <w:r/>
            <w:r>
              <w:rPr>
                <w:b/>
                <w:color w:val="FFFFFF"/>
                <w:sz w:val="20"/>
              </w:rPr>
              <w:t>Nội dung</w:t>
            </w:r>
          </w:p>
        </w:tc>
        <w:tc>
          <w:tcPr>
            <w:tcW w:type="dxa" w:w="5102"/>
            <w:shd w:val="clear" w:color="auto" w:fill="0B3D5C"/>
          </w:tcPr>
          <w:p>
            <w:r/>
            <w:r>
              <w:rPr>
                <w:b/>
                <w:color w:val="FFFFFF"/>
                <w:sz w:val="20"/>
              </w:rPr>
              <w:t>Đơn vị</w:t>
            </w:r>
          </w:p>
        </w:tc>
      </w:tr>
      <w:tr>
        <w:tc>
          <w:tcPr>
            <w:tcW w:type="dxa" w:w="3969"/>
          </w:tcPr>
          <w:p>
            <w:r/>
            <w:r>
              <w:rPr>
                <w:sz w:val="20"/>
              </w:rPr>
              <w:t>Sản phẩm, biểu phí</w:t>
            </w:r>
          </w:p>
        </w:tc>
        <w:tc>
          <w:tcPr>
            <w:tcW w:type="dxa" w:w="5102"/>
          </w:tcPr>
          <w:p>
            <w:r/>
            <w:r>
              <w:rPr>
                <w:sz w:val="20"/>
              </w:rPr>
              <w:t>Phòng Sản phẩm Khách hàng Ưu tiên</w:t>
            </w:r>
          </w:p>
        </w:tc>
      </w:tr>
      <w:tr>
        <w:tc>
          <w:tcPr>
            <w:tcW w:type="dxa" w:w="3969"/>
          </w:tcPr>
          <w:p>
            <w:r/>
            <w:r>
              <w:rPr>
                <w:sz w:val="20"/>
              </w:rPr>
              <w:t>Thẩm định, phê duyệt tín dụng</w:t>
            </w:r>
          </w:p>
        </w:tc>
        <w:tc>
          <w:tcPr>
            <w:tcW w:type="dxa" w:w="5102"/>
          </w:tcPr>
          <w:p>
            <w:r/>
            <w:r>
              <w:rPr>
                <w:sz w:val="20"/>
              </w:rPr>
              <w:t>Khối Tín dụng - Phòng Thẩm định Khách hàng cá nhân</w:t>
            </w:r>
          </w:p>
        </w:tc>
      </w:tr>
      <w:tr>
        <w:tc>
          <w:tcPr>
            <w:tcW w:type="dxa" w:w="3969"/>
          </w:tcPr>
          <w:p>
            <w:r/>
            <w:r>
              <w:rPr>
                <w:sz w:val="20"/>
              </w:rPr>
              <w:t>Tuân thủ bancassurance, KYC</w:t>
            </w:r>
          </w:p>
        </w:tc>
        <w:tc>
          <w:tcPr>
            <w:tcW w:type="dxa" w:w="5102"/>
          </w:tcPr>
          <w:p>
            <w:r/>
            <w:r>
              <w:rPr>
                <w:sz w:val="20"/>
              </w:rPr>
              <w:t>Phòng Pháp chế và Tuân thủ</w:t>
            </w:r>
          </w:p>
        </w:tc>
      </w:tr>
      <w:tr>
        <w:tc>
          <w:tcPr>
            <w:tcW w:type="dxa" w:w="3969"/>
          </w:tcPr>
          <w:p>
            <w:r/>
            <w:r>
              <w:rPr>
                <w:sz w:val="20"/>
              </w:rPr>
              <w:t>Sự cố hệ thống, ứng dụng</w:t>
            </w:r>
          </w:p>
        </w:tc>
        <w:tc>
          <w:tcPr>
            <w:tcW w:type="dxa" w:w="5102"/>
          </w:tcPr>
          <w:p>
            <w:r/>
            <w:r>
              <w:rPr>
                <w:sz w:val="20"/>
              </w:rPr>
              <w:t>Trung tâm Vận hành và Dịch vụ Khách hàng Ưu tiên</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Ngân hàng TMCP Minh Khang (MKB) là ngân hàng giả tưởng. Tài liệu chỉ phục vụ mục đích đào tạo. Phiên bản 3.2 - hiệu lực từ 01/07/2026.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