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ind w:left="360"/>
        <w:jc w:val="center"/>
      </w:pPr>
      <w:r>
        <w:rPr>
          <w:rFonts w:ascii="Arial Narrow" w:hAnsi="Arial Narrow" w:cs="Arial Narrow" w:eastAsia="Arial Narrow"/>
          <w:b/>
          <w:i w:val="0"/>
          <w:sz w:val="26"/>
        </w:rPr>
        <w:t>NGÂN HÀNG TMCP MINH KHANG</w:t>
      </w:r>
    </w:p>
    <w:p>
      <w:pPr>
        <w:spacing w:after="40"/>
        <w:ind w:left="0"/>
        <w:jc w:val="left"/>
      </w:pPr>
      <w:r>
        <w:rPr>
          <w:rFonts w:ascii="VNI-Times" w:hAnsi="VNI-Times" w:cs="VNI-Times" w:eastAsia="VNI-Times"/>
          <w:b/>
          <w:i w:val="0"/>
          <w:sz w:val="24"/>
        </w:rPr>
        <w:t>CHÍNH SÁCH BẢO MẬT THÔNG TIN KHÁCH HÀNG</w:t>
      </w:r>
    </w:p>
    <w:p>
      <w:pPr>
        <w:spacing w:after="0"/>
        <w:ind w:left="0"/>
        <w:jc w:val="left"/>
      </w:pPr>
      <w:r>
        <w:rPr>
          <w:rFonts w:ascii="VNI-Times" w:hAnsi="VNI-Times" w:cs="VNI-Times" w:eastAsia="VNI-Times"/>
          <w:b w:val="0"/>
          <w:i w:val="0"/>
          <w:sz w:val="18"/>
        </w:rPr>
        <w:t>(Ban hành kem Quyết định số 1182/2026/QĐ-HĐQT ngày 15/08/2026)  Trang 1/4</w:t>
      </w:r>
    </w:p>
    <w:p>
      <w:pPr>
        <w:spacing w:after="0"/>
        <w:ind w:left="0"/>
        <w:jc w:val="both"/>
      </w:pPr>
      <w:r>
        <w:rPr>
          <w:rFonts w:ascii="Arial Narrow" w:hAnsi="Arial Narrow" w:cs="Arial Narrow" w:eastAsia="Arial Narrow"/>
          <w:b/>
          <w:i w:val="0"/>
          <w:sz w:val="28"/>
        </w:rPr>
        <w:t>I. MỤC ĐÍCH</w:t>
      </w:r>
    </w:p>
    <w:p>
      <w:pPr>
        <w:spacing w:after="0"/>
        <w:ind w:left="0"/>
        <w:jc w:val="left"/>
      </w:pPr>
      <w:r>
        <w:rPr>
          <w:rFonts w:ascii="Arial Narrow" w:hAnsi="Arial Narrow" w:cs="Arial Narrow" w:eastAsia="Arial Narrow"/>
          <w:b w:val="0"/>
          <w:i w:val="0"/>
          <w:sz w:val="24"/>
        </w:rPr>
        <w:t>Chính sach này quy định nguyên tắc, trách nhiệm và biên pháp bảo vệ thông tin khách hàng của Ngân hàng TMCP Minh Khang, bảo đảm tuân thu quy định về bí mât thông tin khách hàng cua tổ chức tin dụng và pháp luât về bảo vê dữ liệu cá nhân.</w:t>
      </w:r>
    </w:p>
    <w:p>
      <w:pPr>
        <w:spacing w:after="40"/>
        <w:ind w:left="600"/>
        <w:jc w:val="left"/>
      </w:pPr>
      <w:r>
        <w:rPr>
          <w:rFonts w:ascii="Cambria" w:hAnsi="Cambria" w:cs="Cambria" w:eastAsia="Cambria"/>
          <w:b/>
          <w:i w:val="0"/>
          <w:sz w:val="24"/>
        </w:rPr>
        <w:t>2 . Phạm vi áp dụng</w:t>
      </w:r>
    </w:p>
    <w:p>
      <w:pPr>
        <w:spacing w:after="280"/>
        <w:ind w:left="0"/>
        <w:jc w:val="both"/>
      </w:pPr>
      <w:r>
        <w:rPr>
          <w:rFonts w:ascii="Calibri" w:hAnsi="Calibri" w:cs="Calibri" w:eastAsia="Calibri"/>
          <w:b/>
          <w:i w:val="0"/>
          <w:sz w:val="26"/>
        </w:rPr>
        <w:t>Áp dụng cho toàn bộ cán bộ nhân vi ên, cộng tác viên, đối tác</w:t>
      </w:r>
    </w:p>
    <w:p>
      <w:pPr>
        <w:spacing w:after="180"/>
        <w:ind w:left="0"/>
        <w:jc w:val="left"/>
      </w:pPr>
      <w:r>
        <w:rPr>
          <w:rFonts w:ascii="Times New Roman" w:hAnsi="Times New Roman" w:cs="Times New Roman" w:eastAsia="Times New Roman"/>
          <w:b w:val="0"/>
          <w:i w:val="0"/>
          <w:sz w:val="24"/>
        </w:rPr>
        <w:t>cung cấp dịch vụ va các đơn vị kinh doanh của MKB, đặc biệt là Khối Khach hàng Ưu tiên nơi lưu giư thông tin tai sản, thu nhập và đầu tư của khach hàng có gia trị tai sản cao.</w:t>
      </w:r>
    </w:p>
    <w:p>
      <w:pPr>
        <w:spacing w:after="180"/>
        <w:ind w:left="360"/>
        <w:jc w:val="both"/>
      </w:pPr>
      <w:r>
        <w:rPr>
          <w:rFonts w:ascii="Cambria" w:hAnsi="Cambria" w:cs="Cambria" w:eastAsia="Cambria"/>
          <w:b w:val="0"/>
          <w:i w:val="0"/>
          <w:sz w:val="22"/>
        </w:rPr>
        <w:t>Trang 3/4</w:t>
      </w:r>
    </w:p>
    <w:p>
      <w:pPr>
        <w:spacing w:after="280"/>
        <w:ind w:left="120"/>
        <w:jc w:val="left"/>
      </w:pPr>
      <w:r>
        <w:rPr>
          <w:rFonts w:ascii=".VnTime" w:hAnsi=".VnTime" w:cs=".VnTime" w:eastAsia=".VnTime"/>
          <w:b/>
          <w:i w:val="0"/>
          <w:sz w:val="24"/>
        </w:rPr>
        <w:t>III- Định nghĩa</w:t>
      </w:r>
    </w:p>
    <w:p>
      <w:pPr>
        <w:spacing w:after="40"/>
        <w:ind w:left="120"/>
        <w:jc w:val="left"/>
      </w:pPr>
      <w:r>
        <w:rPr>
          <w:rFonts w:ascii="VNI-Times" w:hAnsi="VNI-Times" w:cs="VNI-Times" w:eastAsia="VNI-Times"/>
          <w:b w:val="0"/>
          <w:i w:val="0"/>
          <w:sz w:val="22"/>
        </w:rPr>
        <w:t>• Thông tin khách hàng: thông tin định danh, thông tin tài khoản, tiền gửi, tài sản gửi, giao dịch, khoản vay và các dịch vụ khác mà khách hàng sử dụng tại MKB.</w:t>
      </w:r>
    </w:p>
    <w:p>
      <w:pPr>
        <w:spacing w:after="40"/>
        <w:ind w:left="120"/>
        <w:jc w:val="both"/>
      </w:pPr>
      <w:r>
        <w:rPr>
          <w:rFonts w:ascii=".VnTime" w:hAnsi=".VnTime" w:cs=".VnTime" w:eastAsia=".VnTime"/>
          <w:b w:val="0"/>
          <w:i w:val="0"/>
          <w:sz w:val="22"/>
        </w:rPr>
        <w:t>- Thông tin định danh: họ tên, số CCCD hoặc hộ chi ếu, mã khách hàng (CIF), số tai khoản, số thẻ, số điện thoại, địa chỉ, dữ liệu sinh trắc hoc.</w:t>
      </w:r>
    </w:p>
    <w:p>
      <w:pPr>
        <w:spacing w:after="180"/>
        <w:ind w:left="360"/>
        <w:jc w:val="both"/>
      </w:pPr>
      <w:r>
        <w:rPr>
          <w:rFonts w:ascii="Calibri" w:hAnsi="Calibri" w:cs="Calibri" w:eastAsia="Calibri"/>
          <w:b w:val="0"/>
          <w:i w:val="0"/>
          <w:sz w:val="22"/>
        </w:rPr>
        <w:t>• Dữ liêu cá nhân nhạy cảm: thông tin tai chính, thông tin sức khỏe trong hồ sơ bảo hiểm, dữ liệu sinh trắc học va vị trí.</w:t>
      </w:r>
    </w:p>
    <w:p>
      <w:pPr>
        <w:spacing w:after="180"/>
        <w:ind w:left="600"/>
        <w:jc w:val="center"/>
      </w:pPr>
      <w:r>
        <w:rPr>
          <w:rFonts w:ascii=".VnTime" w:hAnsi=".VnTime" w:cs=".VnTime" w:eastAsia=".VnTime"/>
          <w:b/>
          <w:i w:val="0"/>
          <w:sz w:val="26"/>
        </w:rPr>
        <w:t>4) Phân loại thông tin</w:t>
      </w:r>
    </w:p>
    <w:p>
      <w:pPr>
        <w:spacing w:after="280"/>
        <w:ind w:left="120"/>
        <w:jc w:val="both"/>
      </w:pPr>
      <w:r>
        <w:rPr>
          <w:rFonts w:ascii="Times New Roman" w:hAnsi="Times New Roman" w:cs="Times New Roman" w:eastAsia="Times New Roman"/>
          <w:b w:val="0"/>
          <w:i w:val="0"/>
          <w:sz w:val="26"/>
        </w:rPr>
        <w:t>• Cấp 1 - Công khai: biểu phí, lãi suất niêm yêt, thông tin san phẩm đã công bố.</w:t>
      </w:r>
    </w:p>
    <w:p>
      <w:pPr>
        <w:spacing w:after="180"/>
        <w:ind w:left="0"/>
        <w:jc w:val="both"/>
      </w:pPr>
      <w:r>
        <w:rPr>
          <w:rFonts w:ascii=".VnTime" w:hAnsi=".VnTime" w:cs=".VnTime" w:eastAsia=".VnTime"/>
          <w:b w:val="0"/>
          <w:i w:val="0"/>
          <w:sz w:val="20"/>
        </w:rPr>
        <w:t>- Cấp 2 - Nội bộ: quy trình, hướng dẫn n ghiệp vu, báo cao tổng hợp không chứa thông tin định danh.</w:t>
      </w:r>
    </w:p>
    <w:p>
      <w:pPr>
        <w:spacing w:after="180"/>
        <w:ind w:left="600"/>
        <w:jc w:val="left"/>
      </w:pPr>
      <w:r>
        <w:rPr>
          <w:rFonts w:ascii="Cambria" w:hAnsi="Cambria" w:cs="Cambria" w:eastAsia="Cambria"/>
          <w:b w:val="0"/>
          <w:i w:val="0"/>
          <w:sz w:val="24"/>
        </w:rPr>
        <w:t>- Cấp 3 - Mật: thông tin khách hàng, danh mục khách hàng của RM, báo cáo kết quả kinh doanh chi tiết.</w:t>
      </w:r>
    </w:p>
    <w:p>
      <w:pPr>
        <w:spacing w:after="0"/>
        <w:ind w:left="0"/>
        <w:jc w:val="left"/>
      </w:pPr>
      <w:r>
        <w:rPr>
          <w:rFonts w:ascii="Cambria" w:hAnsi="Cambria" w:cs="Cambria" w:eastAsia="Cambria"/>
          <w:b w:val="0"/>
          <w:i w:val="0"/>
          <w:sz w:val="22"/>
        </w:rPr>
        <w:t>- Cấp 4 - Tuyệt mật: thông tin khách hàng hạng Diamond, dữ liệu sinh trắc học, khóa mã hóa và thông tin xác thực hê thông.</w:t>
      </w:r>
    </w:p>
    <w:p>
      <w:pPr>
        <w:spacing w:after="0"/>
        <w:ind w:left="0"/>
        <w:jc w:val="left"/>
      </w:pPr>
      <w:r>
        <w:rPr>
          <w:rFonts w:ascii=".VnTime" w:hAnsi=".VnTime" w:cs=".VnTime" w:eastAsia=".VnTime"/>
          <w:b w:val="0"/>
          <w:i w:val="0"/>
          <w:sz w:val="21"/>
        </w:rPr>
        <w:t>Trang 3/4</w:t>
      </w:r>
    </w:p>
    <w:p>
      <w:pPr>
        <w:spacing w:after="0"/>
        <w:ind w:left="600"/>
        <w:jc w:val="left"/>
      </w:pPr>
      <w:r>
        <w:rPr>
          <w:rFonts w:ascii=".VnTime" w:hAnsi=".VnTime" w:cs=".VnTime" w:eastAsia=".VnTime"/>
          <w:b/>
          <w:i w:val="0"/>
          <w:sz w:val="32"/>
        </w:rPr>
        <w:t>V. NGUYÊN TẮC BẢO MẬT</w:t>
      </w:r>
    </w:p>
    <w:p>
      <w:pPr>
        <w:spacing w:after="280"/>
        <w:ind w:left="120"/>
        <w:jc w:val="both"/>
      </w:pPr>
      <w:r>
        <w:rPr>
          <w:rFonts w:ascii="Courier New" w:hAnsi="Courier New" w:cs="Courier New" w:eastAsia="Courier New"/>
          <w:b w:val="0"/>
          <w:i w:val="0"/>
          <w:sz w:val="26"/>
        </w:rPr>
        <w:t>- Chỉ thu thập thông tin cần thiết cho mục đích đã thông báo và được khách hàng đồng y.</w:t>
      </w:r>
    </w:p>
    <w:p>
      <w:pPr>
        <w:spacing w:after="180"/>
        <w:ind w:left="0"/>
        <w:jc w:val="left"/>
      </w:pPr>
      <w:r>
        <w:rPr>
          <w:rFonts w:ascii="Times New Roman" w:hAnsi="Times New Roman" w:cs="Times New Roman" w:eastAsia="Times New Roman"/>
          <w:b w:val="0"/>
          <w:i w:val="0"/>
          <w:sz w:val="21"/>
        </w:rPr>
        <w:t>- Phân quyền truy cập theo nguyên tắc cân biết (need-to-know);</w:t>
      </w:r>
    </w:p>
    <w:p>
      <w:pPr>
        <w:spacing w:after="280"/>
        <w:ind w:left="600"/>
        <w:jc w:val="left"/>
      </w:pPr>
      <w:r>
        <w:rPr>
          <w:rFonts w:ascii="Cambria" w:hAnsi="Cambria" w:cs="Cambria" w:eastAsia="Cambria"/>
          <w:b w:val="0"/>
          <w:i/>
          <w:sz w:val="24"/>
        </w:rPr>
        <w:t>RM chỉ truy cập thông tin của khach hàng mình phụ trách.</w:t>
      </w:r>
    </w:p>
    <w:p>
      <w:pPr>
        <w:spacing w:after="180"/>
        <w:ind w:left="120"/>
        <w:jc w:val="both"/>
      </w:pPr>
      <w:r>
        <w:rPr>
          <w:rFonts w:ascii="Courier New" w:hAnsi="Courier New" w:cs="Courier New" w:eastAsia="Courier New"/>
          <w:b/>
          <w:i w:val="0"/>
          <w:sz w:val="20"/>
        </w:rPr>
        <w:t>• Không lưu thông tin Cấp 3, Cấp 4 trên thiết bị ca nhân, email cá nhân hay ứng dụng nhắn</w:t>
      </w:r>
    </w:p>
    <w:p>
      <w:pPr>
        <w:spacing w:after="180"/>
        <w:ind w:left="0"/>
        <w:jc w:val="left"/>
      </w:pPr>
      <w:r>
        <w:rPr>
          <w:rFonts w:ascii="Courier New" w:hAnsi="Courier New" w:cs="Courier New" w:eastAsia="Courier New"/>
          <w:b w:val="0"/>
          <w:i w:val="0"/>
          <w:sz w:val="24"/>
        </w:rPr>
        <w:t>tin khô ng được phê duyệt.</w:t>
      </w:r>
    </w:p>
    <w:p>
      <w:pPr>
        <w:spacing w:after="180"/>
        <w:ind w:left="600"/>
        <w:jc w:val="left"/>
      </w:pPr>
      <w:r>
        <w:rPr>
          <w:rFonts w:ascii="Calibri" w:hAnsi="Calibri" w:cs="Calibri" w:eastAsia="Calibri"/>
          <w:b w:val="0"/>
          <w:i w:val="0"/>
          <w:sz w:val="24"/>
        </w:rPr>
        <w:t>- Mọi tài liệu chứa thông tin khách hàng phải được gắn nhãn phân loại (sensitivity label) trước khi chia sẻ.</w:t>
      </w:r>
    </w:p>
    <w:p>
      <w:pPr>
        <w:spacing w:after="0"/>
        <w:ind w:left="0"/>
        <w:jc w:val="left"/>
      </w:pPr>
      <w:r>
        <w:rPr>
          <w:rFonts w:ascii="Courier New" w:hAnsi="Courier New" w:cs="Courier New" w:eastAsia="Courier New"/>
          <w:b/>
          <w:i w:val="0"/>
          <w:sz w:val="32"/>
        </w:rPr>
        <w:t>6. Cung cấp thô ng tin cho bên thứ ba</w:t>
      </w:r>
    </w:p>
    <w:p>
      <w:pPr>
        <w:spacing w:after="180"/>
        <w:ind w:left="0"/>
        <w:jc w:val="left"/>
      </w:pPr>
      <w:r>
        <w:rPr>
          <w:rFonts w:ascii="Courier New" w:hAnsi="Courier New" w:cs="Courier New" w:eastAsia="Courier New"/>
          <w:b w:val="0"/>
          <w:i w:val="0"/>
          <w:sz w:val="18"/>
        </w:rPr>
        <w:t>Chỉ cung cấp khi có sự đồng ý bằng văn bản của khách hàng hoặc theo yêu cầu của</w:t>
      </w:r>
    </w:p>
    <w:p>
      <w:pPr>
        <w:spacing w:after="280"/>
        <w:ind w:left="360"/>
        <w:jc w:val="left"/>
      </w:pPr>
      <w:r>
        <w:rPr>
          <w:rFonts w:ascii="VNI-Times" w:hAnsi="VNI-Times" w:cs="VNI-Times" w:eastAsia="VNI-Times"/>
          <w:b w:val="0"/>
          <w:i w:val="0"/>
          <w:sz w:val="21"/>
        </w:rPr>
        <w:t>cơ quan nha nước có thâm quyền theo quy định pháp luật. Đối tác bảo hiểm, quỹ đầu tư chỉ nhận thông tin tối thiểu cần thiết theo hợp đồng hợp tác đã ký.</w:t>
      </w:r>
    </w:p>
    <w:p>
      <w:pPr>
        <w:spacing w:after="280"/>
        <w:ind w:left="0"/>
        <w:jc w:val="left"/>
      </w:pPr>
      <w:r>
        <w:rPr>
          <w:rFonts w:ascii="Arial Narrow" w:hAnsi="Arial Narrow" w:cs="Arial Narrow" w:eastAsia="Arial Narrow"/>
          <w:b/>
          <w:i w:val="0"/>
          <w:sz w:val="32"/>
        </w:rPr>
        <w:t>VII. SỬ DỤNG CÔNG CỤ TRÍ TUỆ NHÂN TẠO</w:t>
      </w:r>
    </w:p>
    <w:p>
      <w:pPr>
        <w:spacing w:after="0"/>
        <w:ind w:left="0"/>
        <w:jc w:val="both"/>
      </w:pPr>
      <w:r>
        <w:rPr>
          <w:rFonts w:ascii="Courier New" w:hAnsi="Courier New" w:cs="Courier New" w:eastAsia="Courier New"/>
          <w:b w:val="0"/>
          <w:i w:val="0"/>
          <w:sz w:val="18"/>
        </w:rPr>
        <w:t>• 7.1. Công cu được phep: chỉ sử dụng Microsoft 365 Copilot, Copilot Chat và các agent chạy trong môi trường Microsoft 365 của MKB. Không đưa dư liệu nội bô vào công cụ AI công cộng hoặc tài khoản AI cá nhân.</w:t>
      </w:r>
    </w:p>
    <w:p>
      <w:pPr>
        <w:spacing w:after="0"/>
        <w:ind w:left="0"/>
        <w:jc w:val="left"/>
      </w:pPr>
      <w:r>
        <w:rPr>
          <w:rFonts w:ascii="Arial Narrow" w:hAnsi="Arial Narrow" w:cs="Arial Narrow" w:eastAsia="Arial Narrow"/>
          <w:b w:val="0"/>
          <w:i w:val="0"/>
          <w:sz w:val="24"/>
        </w:rPr>
        <w:t>- 7.2. Dư liệu được phép: thông tin Cấp 1, Cấp 2 được sử dụng bình</w:t>
      </w:r>
    </w:p>
    <w:p>
      <w:pPr>
        <w:spacing w:after="180"/>
        <w:ind w:left="600"/>
        <w:jc w:val="both"/>
      </w:pPr>
      <w:r>
        <w:rPr>
          <w:rFonts w:ascii=".VnTime" w:hAnsi=".VnTime" w:cs=".VnTime" w:eastAsia=".VnTime"/>
          <w:b w:val="0"/>
          <w:i w:val="0"/>
          <w:sz w:val="24"/>
        </w:rPr>
        <w:t>thường. Thông tin Cấp 3 chỉ được xử lý bằng Copilot khi tài liệu đã gắn nhãn phân loại và người dùng có quyền truy cập hợp lệ. Thông tin Cấp 4 không được đưa vào bất kỳ công cụ AI nao.</w:t>
      </w:r>
    </w:p>
    <w:p>
      <w:pPr>
        <w:spacing w:after="0"/>
        <w:ind w:left="0"/>
        <w:jc w:val="left"/>
      </w:pPr>
      <w:r>
        <w:rPr>
          <w:rFonts w:ascii="Arial Narrow" w:hAnsi="Arial Narrow" w:cs="Arial Narrow" w:eastAsia="Arial Narrow"/>
          <w:b w:val="0"/>
          <w:i/>
          <w:sz w:val="18"/>
        </w:rPr>
        <w:t>- 7.3. Không nhập số CIF, số CCCD, hộ chiếu, sô tai khoản, số thẻ hoặc</w:t>
      </w:r>
    </w:p>
    <w:p>
      <w:pPr>
        <w:spacing w:after="180"/>
        <w:ind w:left="0"/>
        <w:jc w:val="left"/>
      </w:pPr>
      <w:r>
        <w:rPr>
          <w:rFonts w:ascii="Courier New" w:hAnsi="Courier New" w:cs="Courier New" w:eastAsia="Courier New"/>
          <w:b w:val="0"/>
          <w:i w:val="0"/>
          <w:sz w:val="24"/>
        </w:rPr>
        <w:t>thông tin định danh khách hàng vào câu lệnh (prompt); khi cần, dùng mã khach hàng đã ẩn danh.</w:t>
      </w:r>
    </w:p>
    <w:p>
      <w:pPr>
        <w:spacing w:after="0"/>
        <w:ind w:left="0"/>
        <w:jc w:val="left"/>
      </w:pPr>
      <w:r>
        <w:rPr>
          <w:rFonts w:ascii="Cambria" w:hAnsi="Cambria" w:cs="Cambria" w:eastAsia="Cambria"/>
          <w:b w:val="0"/>
          <w:i w:val="0"/>
          <w:sz w:val="24"/>
        </w:rPr>
        <w:t>- 7.4. Con người chịu trách nhiêm cuối cùng: AI không đươc ra</w:t>
      </w:r>
    </w:p>
    <w:p>
      <w:pPr>
        <w:spacing w:after="0"/>
        <w:ind w:left="360"/>
        <w:jc w:val="left"/>
      </w:pPr>
      <w:r>
        <w:rPr>
          <w:rFonts w:ascii="Courier New" w:hAnsi="Courier New" w:cs="Courier New" w:eastAsia="Courier New"/>
          <w:b w:val="0"/>
          <w:i w:val="0"/>
          <w:sz w:val="21"/>
        </w:rPr>
        <w:t>quyết định câp tín dụng, phê duyệt ngoại lệ hay đưa khuyến nghị đầu tư cho khách hàng cụ thể. Nội dung do AI tạo phải được người dùng kiểm tra số liệu và câu chư trước khi gửi khách hàng.</w:t>
      </w:r>
    </w:p>
    <w:p>
      <w:pPr>
        <w:spacing w:after="280"/>
        <w:ind w:left="600"/>
        <w:jc w:val="left"/>
      </w:pPr>
      <w:r>
        <w:rPr>
          <w:rFonts w:ascii=".VnTime" w:hAnsi=".VnTime" w:cs=".VnTime" w:eastAsia=".VnTime"/>
          <w:b w:val="0"/>
          <w:i w:val="0"/>
          <w:sz w:val="20"/>
        </w:rPr>
        <w:t>• 7.5. Ghi âm, ghi lời thoại (transcript) cuộc họp có khách hàng hoặc đối tác bên ngoài chỉ</w:t>
      </w:r>
    </w:p>
    <w:p>
      <w:pPr>
        <w:spacing w:after="180"/>
        <w:ind w:left="0"/>
        <w:jc w:val="left"/>
      </w:pPr>
      <w:r>
        <w:rPr>
          <w:rFonts w:ascii="VNI-Times" w:hAnsi="VNI-Times" w:cs="VNI-Times" w:eastAsia="VNI-Times"/>
          <w:b w:val="0"/>
          <w:i w:val="0"/>
          <w:sz w:val="24"/>
        </w:rPr>
        <w:t>được bật sau khi thông báo và được các bên đồng y ngay đầu cuộc họp. Biên bản do AI tạo phải được người chủ trì rà soát trước khi gửi.</w:t>
      </w:r>
    </w:p>
    <w:p>
      <w:pPr>
        <w:spacing w:after="180"/>
        <w:ind w:left="600"/>
        <w:jc w:val="left"/>
      </w:pPr>
      <w:r>
        <w:rPr>
          <w:rFonts w:ascii="VNI-Times" w:hAnsi="VNI-Times" w:cs="VNI-Times" w:eastAsia="VNI-Times"/>
          <w:b w:val="0"/>
          <w:i w:val="0"/>
          <w:sz w:val="22"/>
        </w:rPr>
        <w:t>- 7.6. Agent tự tạo chỉ được chia sẻ trong phạm vi đơn vị; knowledge source phải là thư mục</w:t>
      </w:r>
    </w:p>
    <w:p>
      <w:pPr>
        <w:spacing w:after="180"/>
        <w:ind w:left="0"/>
        <w:jc w:val="left"/>
      </w:pPr>
      <w:r>
        <w:rPr>
          <w:rFonts w:ascii="Courier New" w:hAnsi="Courier New" w:cs="Courier New" w:eastAsia="Courier New"/>
          <w:b w:val="0"/>
          <w:i w:val="0"/>
          <w:sz w:val="26"/>
        </w:rPr>
        <w:t>SharePoint có phân quyền. Agent phuc vụ khách hàng bên ngoài phải được Khối Công nghê va Pháp chế và Tuân thủ phê duyệt.</w:t>
      </w:r>
    </w:p>
    <w:p>
      <w:pPr>
        <w:spacing w:after="0"/>
        <w:ind w:left="600"/>
        <w:jc w:val="left"/>
      </w:pPr>
      <w:r>
        <w:rPr>
          <w:rFonts w:ascii="Calibri" w:hAnsi="Calibri" w:cs="Calibri" w:eastAsia="Calibri"/>
          <w:b w:val="0"/>
          <w:i w:val="0"/>
          <w:sz w:val="21"/>
        </w:rPr>
        <w:t>• 7.7. Kết quả do AI tạo được lưu trên OneDrive hoặc SharePoint của MKB va gắn nhãn phân</w:t>
      </w:r>
    </w:p>
    <w:p>
      <w:pPr>
        <w:spacing w:after="40"/>
        <w:ind w:left="120"/>
        <w:jc w:val="both"/>
      </w:pPr>
      <w:r>
        <w:rPr>
          <w:rFonts w:ascii="Calibri" w:hAnsi="Calibri" w:cs="Calibri" w:eastAsia="Calibri"/>
          <w:b w:val="0"/>
          <w:i w:val="0"/>
          <w:sz w:val="26"/>
        </w:rPr>
        <w:t>loại như tài liệu gốc.</w:t>
      </w:r>
    </w:p>
    <w:p>
      <w:pPr>
        <w:spacing w:after="180"/>
        <w:ind w:left="600"/>
        <w:jc w:val="left"/>
      </w:pPr>
      <w:r>
        <w:rPr>
          <w:rFonts w:ascii="Times New Roman" w:hAnsi="Times New Roman" w:cs="Times New Roman" w:eastAsia="Times New Roman"/>
          <w:b w:val="0"/>
          <w:i w:val="0"/>
          <w:sz w:val="24"/>
        </w:rPr>
        <w:t>• 7.8. Báo cáo cho Trung tâm An ninh thông tin trong vòng 24</w:t>
      </w:r>
    </w:p>
    <w:p>
      <w:pPr>
        <w:spacing w:after="180"/>
        <w:ind w:left="360"/>
        <w:jc w:val="left"/>
      </w:pPr>
      <w:r>
        <w:rPr>
          <w:rFonts w:ascii="VNI-Times" w:hAnsi="VNI-Times" w:cs="VNI-Times" w:eastAsia="VNI-Times"/>
          <w:b w:val="0"/>
          <w:i w:val="0"/>
          <w:sz w:val="22"/>
        </w:rPr>
        <w:t>giơ khi phát hiện AI trả vê thông tin sai lệch nghiêm trọng hoặc hiển thị dữ liệu mà người dùng không có quyền xem.</w:t>
      </w:r>
    </w:p>
    <w:p>
      <w:pPr>
        <w:spacing w:after="0"/>
        <w:ind w:left="0"/>
        <w:jc w:val="center"/>
      </w:pPr>
      <w:r>
        <w:rPr>
          <w:rFonts w:ascii="VNI-Times" w:hAnsi="VNI-Times" w:cs="VNI-Times" w:eastAsia="VNI-Times"/>
          <w:b/>
          <w:i w:val="0"/>
          <w:sz w:val="26"/>
        </w:rPr>
        <w:t>8 - Xử lý sự cố lộ lot t hông tin</w:t>
      </w:r>
    </w:p>
    <w:p>
      <w:pPr>
        <w:spacing w:after="280"/>
        <w:ind w:left="600"/>
        <w:jc w:val="both"/>
      </w:pPr>
      <w:r>
        <w:rPr>
          <w:rFonts w:ascii="VNI-Times" w:hAnsi="VNI-Times" w:cs="VNI-Times" w:eastAsia="VNI-Times"/>
          <w:b w:val="0"/>
          <w:i/>
          <w:sz w:val="26"/>
        </w:rPr>
        <w:t>- Cán bộ phát hiện sự cố báo cáo ngay cho Trung tâm An ninh thông tin và cấp</w:t>
      </w:r>
    </w:p>
    <w:p>
      <w:pPr>
        <w:spacing w:after="180"/>
        <w:ind w:left="0"/>
        <w:jc w:val="left"/>
      </w:pPr>
      <w:r>
        <w:rPr>
          <w:rFonts w:ascii="Calibri" w:hAnsi="Calibri" w:cs="Calibri" w:eastAsia="Calibri"/>
          <w:b w:val="0"/>
          <w:i w:val="0"/>
          <w:sz w:val="21"/>
        </w:rPr>
        <w:t>quản lý trực tiêp trong vòng 02 giờ.</w:t>
      </w:r>
    </w:p>
    <w:p>
      <w:pPr>
        <w:spacing w:after="40"/>
        <w:ind w:left="120"/>
        <w:jc w:val="both"/>
      </w:pPr>
      <w:r>
        <w:rPr>
          <w:rFonts w:ascii="Times New Roman" w:hAnsi="Times New Roman" w:cs="Times New Roman" w:eastAsia="Times New Roman"/>
          <w:b w:val="0"/>
          <w:i w:val="0"/>
          <w:sz w:val="20"/>
        </w:rPr>
        <w:t>- Pháp chế và Tuân thủ đánh giá mức độ ảnh hưởng, thông báo cho khách</w:t>
      </w:r>
    </w:p>
    <w:p>
      <w:pPr>
        <w:spacing w:after="280"/>
        <w:ind w:left="360"/>
        <w:jc w:val="left"/>
      </w:pPr>
      <w:r>
        <w:rPr>
          <w:rFonts w:ascii=".VnTime" w:hAnsi=".VnTime" w:cs=".VnTime" w:eastAsia=".VnTime"/>
          <w:b w:val="0"/>
          <w:i w:val="0"/>
          <w:sz w:val="21"/>
        </w:rPr>
        <w:t>hàng và cơ quan quản lý theo thời hạn luật đinh.</w:t>
      </w:r>
    </w:p>
    <w:p>
      <w:pPr>
        <w:spacing w:after="40"/>
        <w:ind w:left="600"/>
        <w:jc w:val="left"/>
      </w:pPr>
      <w:r>
        <w:rPr>
          <w:rFonts w:ascii="Courier New" w:hAnsi="Courier New" w:cs="Courier New" w:eastAsia="Courier New"/>
          <w:b w:val="0"/>
          <w:i w:val="0"/>
          <w:sz w:val="18"/>
        </w:rPr>
        <w:t>Trang 2/4</w:t>
      </w:r>
    </w:p>
    <w:p>
      <w:pPr>
        <w:spacing w:after="40"/>
        <w:ind w:left="0"/>
        <w:jc w:val="left"/>
      </w:pPr>
      <w:r>
        <w:rPr>
          <w:rFonts w:ascii="Times New Roman" w:hAnsi="Times New Roman" w:cs="Times New Roman" w:eastAsia="Times New Roman"/>
          <w:b/>
          <w:i w:val="0"/>
          <w:sz w:val="32"/>
        </w:rPr>
        <w:t>IX. TRÁCH NHIỆM THI HÀNH</w:t>
      </w:r>
    </w:p>
    <w:p>
      <w:pPr>
        <w:spacing w:after="280"/>
        <w:ind w:left="120"/>
        <w:jc w:val="left"/>
      </w:pPr>
      <w:r>
        <w:rPr>
          <w:rFonts w:ascii="Arial Narrow" w:hAnsi="Arial Narrow" w:cs="Arial Narrow" w:eastAsia="Arial Narrow"/>
          <w:b w:val="0"/>
          <w:i w:val="0"/>
          <w:sz w:val="21"/>
        </w:rPr>
        <w:t>Giám đốc cac Khối, Trung tâm chịu trách nhiệm phổ biến chính sách. Vi phạm bị xử lý kỷ luật theo Nội quy lao động va co thể bị truy cứu trách nhiệm theo quy định pháp luật.</w:t>
      </w:r>
    </w:p>
    <w:p>
      <w:pPr>
        <w:spacing w:after="0"/>
        <w:ind w:left="360"/>
        <w:jc w:val="left"/>
      </w:pPr>
      <w:r>
        <w:rPr>
          <w:rFonts w:ascii="Courier New" w:hAnsi="Courier New" w:cs="Courier New" w:eastAsia="Courier New"/>
          <w:b w:val="0"/>
          <w:i w:val="0"/>
          <w:sz w:val="21"/>
        </w:rPr>
        <w:t>Trang 4/4</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Ngân hàng TMCP Minh Khang (MKB) là ngân hàng giả tưởng. Tài liệu chỉ phục vụ mục đích đào tạo.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