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4A60" w14:textId="1E537FC9" w:rsidR="00BF13F6" w:rsidRPr="00CE2944" w:rsidRDefault="00E53665" w:rsidP="005C1B31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Fluconazole</w:t>
      </w:r>
      <w:r w:rsidR="00F3208C">
        <w:rPr>
          <w:rFonts w:ascii="Calibri" w:hAnsi="Calibri"/>
          <w:b/>
          <w:sz w:val="28"/>
          <w:szCs w:val="28"/>
        </w:rPr>
        <w:t xml:space="preserve"> - Simvastatin</w:t>
      </w:r>
    </w:p>
    <w:p w14:paraId="6E88374A" w14:textId="77777777" w:rsidR="005C1B31" w:rsidRPr="001323ED" w:rsidRDefault="005C1B31">
      <w:pPr>
        <w:rPr>
          <w:rFonts w:ascii="Calibri" w:hAnsi="Calibri"/>
          <w:sz w:val="12"/>
        </w:rPr>
      </w:pPr>
      <w:bookmarkStart w:id="0" w:name="_GoBack"/>
      <w:bookmarkEnd w:id="0"/>
    </w:p>
    <w:p w14:paraId="7ABDF9CE" w14:textId="7640058E" w:rsidR="001323ED" w:rsidRPr="001323ED" w:rsidRDefault="00F3208C" w:rsidP="001323ED">
      <w:pPr>
        <w:spacing w:line="22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Simvastatin is used to treat hyperlipidemia. It is primarily metabolized by CYP3A4 and has a very low bioavailability (&lt;5%) due to extensive enterocyte and hepatic first-pass clearance. It is very sensitive to inhibitors of CYP3A4, especially if the inhibitor is administered orally near to the administration time of simvastatin. </w:t>
      </w:r>
      <w:r w:rsidR="001676C1">
        <w:rPr>
          <w:rFonts w:ascii="Calibri" w:hAnsi="Calibri"/>
          <w:sz w:val="22"/>
          <w:szCs w:val="22"/>
        </w:rPr>
        <w:t xml:space="preserve">Fluconazole is used as prophylaxis and treatment of fungal infections. </w:t>
      </w:r>
      <w:r w:rsidR="006C6F6E">
        <w:rPr>
          <w:rFonts w:ascii="Calibri" w:hAnsi="Calibri"/>
          <w:sz w:val="22"/>
          <w:szCs w:val="22"/>
        </w:rPr>
        <w:t>Fluconazole</w:t>
      </w:r>
      <w:r w:rsidR="001676C1">
        <w:rPr>
          <w:rFonts w:ascii="Calibri" w:hAnsi="Calibri"/>
          <w:sz w:val="22"/>
          <w:szCs w:val="22"/>
        </w:rPr>
        <w:t xml:space="preserve"> is an inhibitor of CYP3A4</w:t>
      </w:r>
      <w:r w:rsidR="006C6F6E">
        <w:rPr>
          <w:rFonts w:ascii="Calibri" w:hAnsi="Calibri"/>
          <w:sz w:val="22"/>
          <w:szCs w:val="22"/>
        </w:rPr>
        <w:t xml:space="preserve">, especially at </w:t>
      </w:r>
      <w:r w:rsidR="00786394">
        <w:rPr>
          <w:rFonts w:ascii="Calibri" w:hAnsi="Calibri"/>
          <w:sz w:val="22"/>
          <w:szCs w:val="22"/>
        </w:rPr>
        <w:t>doses of 200 mg/day or more</w:t>
      </w:r>
      <w:r w:rsidR="006C6F6E">
        <w:rPr>
          <w:rFonts w:ascii="Calibri" w:hAnsi="Calibri"/>
          <w:sz w:val="22"/>
          <w:szCs w:val="22"/>
        </w:rPr>
        <w:t>.</w:t>
      </w:r>
    </w:p>
    <w:p w14:paraId="652551A3" w14:textId="77777777" w:rsidR="001323ED" w:rsidRPr="001323ED" w:rsidRDefault="001323E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5"/>
        <w:gridCol w:w="1800"/>
        <w:gridCol w:w="2250"/>
        <w:gridCol w:w="1980"/>
        <w:gridCol w:w="2250"/>
      </w:tblGrid>
      <w:tr w:rsidR="00F10197" w:rsidRPr="00CE2944" w14:paraId="068AB6D6" w14:textId="4C32D07E" w:rsidTr="005E69CB">
        <w:tc>
          <w:tcPr>
            <w:tcW w:w="3355" w:type="dxa"/>
            <w:tcBorders>
              <w:left w:val="nil"/>
              <w:right w:val="nil"/>
            </w:tcBorders>
          </w:tcPr>
          <w:p w14:paraId="7036BB21" w14:textId="52831176" w:rsidR="00F10197" w:rsidRPr="00CE2944" w:rsidRDefault="00F10197" w:rsidP="008C1187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Dose of Simvastatin</w:t>
            </w:r>
          </w:p>
        </w:tc>
        <w:tc>
          <w:tcPr>
            <w:tcW w:w="4050" w:type="dxa"/>
            <w:gridSpan w:val="2"/>
            <w:tcBorders>
              <w:left w:val="nil"/>
              <w:right w:val="nil"/>
            </w:tcBorders>
          </w:tcPr>
          <w:p w14:paraId="7EB5C889" w14:textId="5BFA72B0" w:rsidR="00F10197" w:rsidRPr="00CE2944" w:rsidRDefault="00F10197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Less than or equal to 20 mg/day</w:t>
            </w:r>
          </w:p>
        </w:tc>
        <w:tc>
          <w:tcPr>
            <w:tcW w:w="4230" w:type="dxa"/>
            <w:gridSpan w:val="2"/>
            <w:tcBorders>
              <w:left w:val="nil"/>
              <w:right w:val="nil"/>
            </w:tcBorders>
          </w:tcPr>
          <w:p w14:paraId="0736209A" w14:textId="1B22F167" w:rsidR="00F10197" w:rsidRPr="00CE2944" w:rsidRDefault="00F10197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Dose greater than 20 mg/day</w:t>
            </w:r>
          </w:p>
        </w:tc>
      </w:tr>
      <w:tr w:rsidR="00F10197" w:rsidRPr="00CE2944" w14:paraId="3E731ED2" w14:textId="77777777" w:rsidTr="005E69CB">
        <w:tc>
          <w:tcPr>
            <w:tcW w:w="3355" w:type="dxa"/>
            <w:tcBorders>
              <w:left w:val="nil"/>
              <w:right w:val="nil"/>
            </w:tcBorders>
          </w:tcPr>
          <w:p w14:paraId="76C9E1CB" w14:textId="112C2DA6" w:rsidR="00F10197" w:rsidRDefault="00F10197" w:rsidP="008C1187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Dose of Fluconazole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40ADB5C" w14:textId="5F8E53D4" w:rsidR="00F10197" w:rsidRDefault="00F10197" w:rsidP="00A739CA">
            <w:pPr>
              <w:tabs>
                <w:tab w:val="left" w:pos="274"/>
              </w:tabs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Less than 200 mg/day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39E81C10" w14:textId="7232CC25" w:rsidR="00F10197" w:rsidRDefault="00F10197" w:rsidP="00A739CA">
            <w:pPr>
              <w:tabs>
                <w:tab w:val="left" w:pos="274"/>
              </w:tabs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Greater or equal 200 mg/day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0579B" w14:textId="47A5C0D3" w:rsidR="00F10197" w:rsidRDefault="00F10197" w:rsidP="00A739CA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Less than 200 mg/day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18895A45" w14:textId="23562B0A" w:rsidR="00F10197" w:rsidRDefault="00F10197" w:rsidP="00A739CA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Greater or equal 200 mg/day</w:t>
            </w:r>
          </w:p>
        </w:tc>
      </w:tr>
      <w:tr w:rsidR="00F10197" w:rsidRPr="00CE2944" w14:paraId="347EB912" w14:textId="320B0168" w:rsidTr="005E69CB">
        <w:tc>
          <w:tcPr>
            <w:tcW w:w="3355" w:type="dxa"/>
            <w:tcBorders>
              <w:top w:val="thinThickSmallGap" w:sz="24" w:space="0" w:color="auto"/>
              <w:left w:val="nil"/>
              <w:right w:val="nil"/>
            </w:tcBorders>
          </w:tcPr>
          <w:p w14:paraId="303876C3" w14:textId="60F1297B" w:rsidR="00F10197" w:rsidRPr="00CE2944" w:rsidRDefault="00F10197" w:rsidP="008C1187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simvastatin side effects unlikely</w:t>
            </w:r>
          </w:p>
        </w:tc>
        <w:tc>
          <w:tcPr>
            <w:tcW w:w="1800" w:type="dxa"/>
            <w:tcBorders>
              <w:top w:val="thinThickSmallGap" w:sz="24" w:space="0" w:color="auto"/>
              <w:left w:val="nil"/>
              <w:right w:val="nil"/>
            </w:tcBorders>
          </w:tcPr>
          <w:p w14:paraId="1D483C9C" w14:textId="77777777" w:rsidR="00F10197" w:rsidRPr="000E477B" w:rsidRDefault="00F10197" w:rsidP="0046084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20D71A"/>
                <w:sz w:val="18"/>
                <w:szCs w:val="18"/>
              </w:rPr>
              <w:t>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250" w:type="dxa"/>
            <w:tcBorders>
              <w:top w:val="thinThickSmallGap" w:sz="24" w:space="0" w:color="auto"/>
              <w:left w:val="nil"/>
              <w:right w:val="nil"/>
            </w:tcBorders>
          </w:tcPr>
          <w:p w14:paraId="0130F2A2" w14:textId="2C5FB729" w:rsidR="00F10197" w:rsidRPr="000E477B" w:rsidRDefault="00F10197" w:rsidP="0046084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thinThickSmallGap" w:sz="24" w:space="0" w:color="auto"/>
              <w:left w:val="nil"/>
              <w:right w:val="nil"/>
            </w:tcBorders>
          </w:tcPr>
          <w:p w14:paraId="6CBCA0BB" w14:textId="5432B691" w:rsidR="00F10197" w:rsidRPr="000E477B" w:rsidRDefault="00F10197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thinThickSmallGap" w:sz="24" w:space="0" w:color="auto"/>
              <w:left w:val="nil"/>
              <w:right w:val="nil"/>
            </w:tcBorders>
          </w:tcPr>
          <w:p w14:paraId="34EC7A90" w14:textId="7EA07530" w:rsidR="00F10197" w:rsidRPr="000E477B" w:rsidRDefault="00F10197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F10197" w:rsidRPr="00CE2944" w14:paraId="6DED6EAC" w14:textId="5695DE75" w:rsidTr="005E69CB">
        <w:tc>
          <w:tcPr>
            <w:tcW w:w="3355" w:type="dxa"/>
            <w:tcBorders>
              <w:left w:val="nil"/>
              <w:right w:val="nil"/>
            </w:tcBorders>
          </w:tcPr>
          <w:p w14:paraId="63F4F60E" w14:textId="00B45A4A" w:rsidR="00F10197" w:rsidRPr="00CE2944" w:rsidRDefault="00F10197" w:rsidP="008C1187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simvastatin side effects likely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267D61DB" w14:textId="77777777" w:rsidR="00F10197" w:rsidRPr="000E477B" w:rsidRDefault="00F10197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4790654E" w14:textId="6F0273F6" w:rsidR="00F10197" w:rsidRPr="000E477B" w:rsidRDefault="00F10197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20"/>
                <w:szCs w:val="20"/>
              </w:rPr>
              <w:t>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DB2CB7" w14:textId="3892C519" w:rsidR="00F10197" w:rsidRPr="000E477B" w:rsidRDefault="00F10197" w:rsidP="008C1187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20"/>
                <w:szCs w:val="20"/>
              </w:rPr>
              <w:t>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14:paraId="74BA8F8D" w14:textId="63976B3F" w:rsidR="00F10197" w:rsidRPr="000E477B" w:rsidRDefault="00F10197" w:rsidP="008C1187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18"/>
                <w:szCs w:val="18"/>
              </w:rPr>
              <w:t></w:t>
            </w:r>
          </w:p>
        </w:tc>
      </w:tr>
    </w:tbl>
    <w:p w14:paraId="3674E399" w14:textId="71EB1EB2" w:rsidR="005C1B31" w:rsidRPr="000E477B" w:rsidRDefault="00CE2944">
      <w:pPr>
        <w:rPr>
          <w:rFonts w:ascii="Calibri" w:hAnsi="Calibri"/>
          <w:sz w:val="20"/>
          <w:szCs w:val="20"/>
        </w:rPr>
      </w:pPr>
      <w:r w:rsidRPr="000E477B">
        <w:rPr>
          <w:rFonts w:ascii="Wingdings" w:hAnsi="Wingdings"/>
          <w:color w:val="20D71A"/>
          <w:sz w:val="20"/>
          <w:szCs w:val="20"/>
        </w:rPr>
        <w:t>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Calibri" w:hAnsi="Calibri"/>
          <w:sz w:val="20"/>
          <w:szCs w:val="20"/>
        </w:rPr>
        <w:t xml:space="preserve">= No special precautions.  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Wingdings" w:hAnsi="Wingdings"/>
          <w:color w:val="FCC00A"/>
          <w:sz w:val="20"/>
          <w:szCs w:val="20"/>
        </w:rPr>
        <w:t></w:t>
      </w:r>
      <w:r w:rsidRPr="000E477B">
        <w:rPr>
          <w:rFonts w:ascii="Calibri" w:hAnsi="Calibri"/>
          <w:sz w:val="20"/>
          <w:szCs w:val="20"/>
        </w:rPr>
        <w:t xml:space="preserve"> = Assess risk and take action if necessary.</w:t>
      </w:r>
      <w:r w:rsidRPr="000E477B">
        <w:rPr>
          <w:rFonts w:ascii="Calibri" w:hAnsi="Calibri"/>
          <w:color w:val="FF0080"/>
          <w:sz w:val="20"/>
          <w:szCs w:val="20"/>
        </w:rPr>
        <w:t xml:space="preserve"> </w:t>
      </w:r>
      <w:r w:rsidRPr="000E477B">
        <w:rPr>
          <w:rFonts w:ascii="Wingdings" w:hAnsi="Wingdings"/>
          <w:color w:val="FF0080"/>
          <w:sz w:val="20"/>
          <w:szCs w:val="20"/>
        </w:rPr>
        <w:t></w:t>
      </w:r>
      <w:r w:rsidRPr="000E477B">
        <w:rPr>
          <w:rFonts w:ascii="Calibri" w:hAnsi="Calibri"/>
          <w:sz w:val="20"/>
          <w:szCs w:val="20"/>
        </w:rPr>
        <w:t xml:space="preserve"> = Use only if benefit outweighs risk</w:t>
      </w:r>
    </w:p>
    <w:p w14:paraId="3D4C3A60" w14:textId="77777777" w:rsidR="00B055D5" w:rsidRPr="00B055D5" w:rsidRDefault="00B055D5">
      <w:pPr>
        <w:rPr>
          <w:rFonts w:ascii="Calibri" w:hAnsi="Calibri"/>
          <w:sz w:val="18"/>
          <w:szCs w:val="18"/>
        </w:rPr>
      </w:pPr>
    </w:p>
    <w:p w14:paraId="30684DE4" w14:textId="77777777" w:rsidR="00CE2944" w:rsidRPr="00CE2944" w:rsidRDefault="00CE2944">
      <w:pPr>
        <w:rPr>
          <w:rFonts w:ascii="Calibri" w:hAnsi="Calibri"/>
          <w:sz w:val="22"/>
          <w:szCs w:val="22"/>
        </w:rPr>
        <w:sectPr w:rsidR="00CE2944" w:rsidRPr="00CE2944" w:rsidSect="005C1B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  <w:r w:rsidRPr="001C56B0">
        <w:rPr>
          <w:rFonts w:ascii="Calibri" w:hAnsi="Calibri"/>
          <w:b/>
          <w:sz w:val="22"/>
          <w:szCs w:val="22"/>
        </w:rPr>
        <w:t>Footnotes</w:t>
      </w:r>
      <w:r w:rsidRPr="00CE2944">
        <w:rPr>
          <w:rFonts w:ascii="Calibri" w:hAnsi="Calibri"/>
          <w:sz w:val="22"/>
          <w:szCs w:val="22"/>
        </w:rPr>
        <w:t>:</w:t>
      </w:r>
    </w:p>
    <w:p w14:paraId="2C80F594" w14:textId="76C36378" w:rsidR="00CE2944" w:rsidRDefault="00CE2944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 w:rsidRPr="00B055D5">
        <w:rPr>
          <w:rFonts w:ascii="Calibri" w:hAnsi="Calibri"/>
          <w:sz w:val="20"/>
          <w:szCs w:val="20"/>
        </w:rPr>
        <w:lastRenderedPageBreak/>
        <w:t xml:space="preserve">1. </w:t>
      </w:r>
      <w:r w:rsidR="00470868">
        <w:rPr>
          <w:rFonts w:ascii="Calibri" w:hAnsi="Calibri"/>
          <w:sz w:val="20"/>
          <w:szCs w:val="20"/>
        </w:rPr>
        <w:t xml:space="preserve">Fluconazole doses less than 200 mg daily </w:t>
      </w:r>
      <w:r w:rsidR="004A4833">
        <w:rPr>
          <w:rFonts w:ascii="Calibri" w:hAnsi="Calibri"/>
          <w:sz w:val="20"/>
          <w:szCs w:val="20"/>
        </w:rPr>
        <w:t xml:space="preserve">have a limited effect on CYP3A4 activity. Low doses of fluconazole </w:t>
      </w:r>
      <w:r w:rsidR="00470868">
        <w:rPr>
          <w:rFonts w:ascii="Calibri" w:hAnsi="Calibri"/>
          <w:sz w:val="20"/>
          <w:szCs w:val="20"/>
        </w:rPr>
        <w:t xml:space="preserve">may increase simvastatin </w:t>
      </w:r>
      <w:r w:rsidR="00470868" w:rsidRPr="00470868">
        <w:rPr>
          <w:rFonts w:ascii="Calibri" w:hAnsi="Calibri"/>
          <w:bCs/>
          <w:sz w:val="20"/>
          <w:szCs w:val="20"/>
        </w:rPr>
        <w:t>concentration</w:t>
      </w:r>
      <w:r w:rsidR="00470868">
        <w:rPr>
          <w:rFonts w:ascii="Calibri" w:hAnsi="Calibri"/>
          <w:bCs/>
          <w:sz w:val="20"/>
          <w:szCs w:val="20"/>
        </w:rPr>
        <w:t>s by up to 2-fold.</w:t>
      </w:r>
      <w:r w:rsidR="00B846E9">
        <w:rPr>
          <w:rFonts w:ascii="Calibri" w:hAnsi="Calibri"/>
          <w:bCs/>
          <w:sz w:val="20"/>
          <w:szCs w:val="20"/>
        </w:rPr>
        <w:t xml:space="preserve"> </w:t>
      </w:r>
      <w:proofErr w:type="spellStart"/>
      <w:r w:rsidR="00B846E9">
        <w:rPr>
          <w:rFonts w:ascii="Calibri" w:hAnsi="Calibri"/>
          <w:bCs/>
          <w:sz w:val="20"/>
          <w:szCs w:val="20"/>
        </w:rPr>
        <w:t>Varhe</w:t>
      </w:r>
      <w:proofErr w:type="spellEnd"/>
      <w:r w:rsidR="00B846E9">
        <w:rPr>
          <w:rFonts w:ascii="Calibri" w:hAnsi="Calibri"/>
          <w:bCs/>
          <w:sz w:val="20"/>
          <w:szCs w:val="20"/>
        </w:rPr>
        <w:t xml:space="preserve"> A et al. Br J Clin Pharmacol. 1996;42:465-70; Lopez-Gil JA. Ann </w:t>
      </w:r>
      <w:proofErr w:type="spellStart"/>
      <w:r w:rsidR="00B846E9">
        <w:rPr>
          <w:rFonts w:ascii="Calibri" w:hAnsi="Calibri"/>
          <w:bCs/>
          <w:sz w:val="20"/>
          <w:szCs w:val="20"/>
        </w:rPr>
        <w:t>Pharmacother</w:t>
      </w:r>
      <w:proofErr w:type="spellEnd"/>
      <w:r w:rsidR="00B846E9">
        <w:rPr>
          <w:rFonts w:ascii="Calibri" w:hAnsi="Calibri"/>
          <w:bCs/>
          <w:sz w:val="20"/>
          <w:szCs w:val="20"/>
        </w:rPr>
        <w:t xml:space="preserve">. 1993;27:427-30; Kruger HU et al. J Antimicrob Chemother. 1989;24:781-6; </w:t>
      </w:r>
      <w:proofErr w:type="spellStart"/>
      <w:r w:rsidR="00B846E9">
        <w:rPr>
          <w:rFonts w:ascii="Calibri" w:hAnsi="Calibri"/>
          <w:bCs/>
          <w:sz w:val="20"/>
          <w:szCs w:val="20"/>
        </w:rPr>
        <w:t>Vanakoski</w:t>
      </w:r>
      <w:proofErr w:type="spellEnd"/>
      <w:r w:rsidR="00B846E9">
        <w:rPr>
          <w:rFonts w:ascii="Calibri" w:hAnsi="Calibri"/>
          <w:bCs/>
          <w:sz w:val="20"/>
          <w:szCs w:val="20"/>
        </w:rPr>
        <w:t xml:space="preserve"> J et al. </w:t>
      </w:r>
      <w:proofErr w:type="spellStart"/>
      <w:r w:rsidR="00B846E9">
        <w:rPr>
          <w:rFonts w:ascii="Calibri" w:hAnsi="Calibri"/>
          <w:bCs/>
          <w:sz w:val="20"/>
          <w:szCs w:val="20"/>
        </w:rPr>
        <w:t>Internat</w:t>
      </w:r>
      <w:proofErr w:type="spellEnd"/>
      <w:r w:rsidR="00B846E9">
        <w:rPr>
          <w:rFonts w:ascii="Calibri" w:hAnsi="Calibri"/>
          <w:bCs/>
          <w:sz w:val="20"/>
          <w:szCs w:val="20"/>
        </w:rPr>
        <w:t xml:space="preserve"> J Clin Pharm Ther. 1995;33:518-23.</w:t>
      </w:r>
    </w:p>
    <w:p w14:paraId="6A59E8C2" w14:textId="58D8357B" w:rsidR="00B055D5" w:rsidRDefault="00B055D5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2. </w:t>
      </w:r>
      <w:r w:rsidR="008C1187">
        <w:rPr>
          <w:rFonts w:ascii="Calibri" w:hAnsi="Calibri"/>
          <w:sz w:val="20"/>
          <w:szCs w:val="20"/>
        </w:rPr>
        <w:t xml:space="preserve">Patients taking simvastatin doses above 20 mg daily may be at greater risk of adverse outcomes during concurrent </w:t>
      </w:r>
      <w:r w:rsidR="00B846E9">
        <w:rPr>
          <w:rFonts w:ascii="Calibri" w:hAnsi="Calibri"/>
          <w:sz w:val="20"/>
          <w:szCs w:val="20"/>
        </w:rPr>
        <w:t>fluconazole</w:t>
      </w:r>
      <w:r w:rsidR="008C1187">
        <w:rPr>
          <w:rFonts w:ascii="Calibri" w:hAnsi="Calibri"/>
          <w:sz w:val="20"/>
          <w:szCs w:val="20"/>
        </w:rPr>
        <w:t xml:space="preserve"> administration.</w:t>
      </w:r>
      <w:r>
        <w:rPr>
          <w:rFonts w:ascii="Calibri" w:hAnsi="Calibri"/>
          <w:sz w:val="20"/>
          <w:szCs w:val="20"/>
        </w:rPr>
        <w:t xml:space="preserve"> </w:t>
      </w:r>
    </w:p>
    <w:p w14:paraId="68FF4FCC" w14:textId="77777777" w:rsidR="00C15DAD" w:rsidRDefault="00C15DAD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</w:p>
    <w:sectPr w:rsidR="00C15DAD" w:rsidSect="00B055D5">
      <w:type w:val="continuous"/>
      <w:pgSz w:w="15840" w:h="12240" w:orient="landscape"/>
      <w:pgMar w:top="936" w:right="936" w:bottom="936" w:left="93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9CC5C" w14:textId="77777777" w:rsidR="00032DA1" w:rsidRDefault="00032DA1" w:rsidP="00032DA1">
      <w:r>
        <w:separator/>
      </w:r>
    </w:p>
  </w:endnote>
  <w:endnote w:type="continuationSeparator" w:id="0">
    <w:p w14:paraId="742CAB5A" w14:textId="77777777" w:rsidR="00032DA1" w:rsidRDefault="00032DA1" w:rsidP="0003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4E416" w14:textId="77777777" w:rsidR="00032DA1" w:rsidRDefault="00032D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864DD" w14:textId="77777777" w:rsidR="00032DA1" w:rsidRDefault="00032D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FFBD" w14:textId="77777777" w:rsidR="00032DA1" w:rsidRDefault="00032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46DAB" w14:textId="77777777" w:rsidR="00032DA1" w:rsidRDefault="00032DA1" w:rsidP="00032DA1">
      <w:r>
        <w:separator/>
      </w:r>
    </w:p>
  </w:footnote>
  <w:footnote w:type="continuationSeparator" w:id="0">
    <w:p w14:paraId="2EF5058F" w14:textId="77777777" w:rsidR="00032DA1" w:rsidRDefault="00032DA1" w:rsidP="00032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91DFE" w14:textId="77777777" w:rsidR="00032DA1" w:rsidRDefault="00032D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777EE" w14:textId="77777777" w:rsidR="00032DA1" w:rsidRDefault="00032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D7972" w14:textId="77777777" w:rsidR="00032DA1" w:rsidRDefault="00032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removePersonalInformation/>
  <w:removeDateAndTim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31"/>
    <w:rsid w:val="00032DA1"/>
    <w:rsid w:val="000E477B"/>
    <w:rsid w:val="001323ED"/>
    <w:rsid w:val="001676C1"/>
    <w:rsid w:val="001C56B0"/>
    <w:rsid w:val="002A1FFE"/>
    <w:rsid w:val="002A3E99"/>
    <w:rsid w:val="00323284"/>
    <w:rsid w:val="00335147"/>
    <w:rsid w:val="00460846"/>
    <w:rsid w:val="00470868"/>
    <w:rsid w:val="004A4833"/>
    <w:rsid w:val="00510A05"/>
    <w:rsid w:val="005C1B31"/>
    <w:rsid w:val="005E69CB"/>
    <w:rsid w:val="005F4D89"/>
    <w:rsid w:val="006C6F6E"/>
    <w:rsid w:val="006D00F9"/>
    <w:rsid w:val="0072323A"/>
    <w:rsid w:val="00773052"/>
    <w:rsid w:val="00780764"/>
    <w:rsid w:val="00786394"/>
    <w:rsid w:val="008C1187"/>
    <w:rsid w:val="00902E44"/>
    <w:rsid w:val="00927805"/>
    <w:rsid w:val="00A739CA"/>
    <w:rsid w:val="00AC1C13"/>
    <w:rsid w:val="00AC749D"/>
    <w:rsid w:val="00B055D5"/>
    <w:rsid w:val="00B846E9"/>
    <w:rsid w:val="00BF13F6"/>
    <w:rsid w:val="00C15DAD"/>
    <w:rsid w:val="00CC093F"/>
    <w:rsid w:val="00CE2944"/>
    <w:rsid w:val="00E52B76"/>
    <w:rsid w:val="00E53665"/>
    <w:rsid w:val="00F10197"/>
    <w:rsid w:val="00F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74A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A1"/>
  </w:style>
  <w:style w:type="paragraph" w:styleId="Footer">
    <w:name w:val="footer"/>
    <w:basedOn w:val="Normal"/>
    <w:link w:val="FooterChar"/>
    <w:uiPriority w:val="99"/>
    <w:unhideWhenUsed/>
    <w:rsid w:val="00032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A1"/>
  </w:style>
  <w:style w:type="paragraph" w:styleId="Footer">
    <w:name w:val="footer"/>
    <w:basedOn w:val="Normal"/>
    <w:link w:val="FooterChar"/>
    <w:uiPriority w:val="99"/>
    <w:unhideWhenUsed/>
    <w:rsid w:val="00032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2016-07-18T21:10:00Z</dcterms:created>
  <dcterms:modified xsi:type="dcterms:W3CDTF">2016-07-18T23:16:00Z</dcterms:modified>
</cp:coreProperties>
</file>