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E4A60" w14:textId="070317F0" w:rsidR="00BF13F6" w:rsidRPr="00DE3169" w:rsidRDefault="00E832FB" w:rsidP="00DD0864">
      <w:pPr>
        <w:jc w:val="center"/>
        <w:rPr>
          <w:rFonts w:ascii="Calibri" w:hAnsi="Calibri"/>
          <w:b/>
          <w:sz w:val="22"/>
          <w:szCs w:val="22"/>
        </w:rPr>
      </w:pPr>
      <w:r>
        <w:rPr>
          <w:rFonts w:ascii="Calibri" w:hAnsi="Calibri"/>
          <w:b/>
          <w:sz w:val="28"/>
          <w:szCs w:val="28"/>
        </w:rPr>
        <w:t xml:space="preserve">Monoamine Oxidase Inhibitors </w:t>
      </w:r>
      <w:r w:rsidR="00827B5B">
        <w:rPr>
          <w:rFonts w:ascii="Calibri" w:hAnsi="Calibri"/>
          <w:b/>
          <w:sz w:val="28"/>
          <w:szCs w:val="28"/>
        </w:rPr>
        <w:t>–</w:t>
      </w:r>
      <w:r>
        <w:rPr>
          <w:rFonts w:ascii="Calibri" w:hAnsi="Calibri"/>
          <w:b/>
          <w:sz w:val="28"/>
          <w:szCs w:val="28"/>
        </w:rPr>
        <w:t xml:space="preserve"> </w:t>
      </w:r>
      <w:r w:rsidR="00827B5B">
        <w:rPr>
          <w:rFonts w:ascii="Calibri" w:hAnsi="Calibri"/>
          <w:b/>
          <w:sz w:val="28"/>
          <w:szCs w:val="28"/>
        </w:rPr>
        <w:t xml:space="preserve">Indirect Acting </w:t>
      </w:r>
      <w:proofErr w:type="spellStart"/>
      <w:r w:rsidR="00827B5B">
        <w:rPr>
          <w:rFonts w:ascii="Calibri" w:hAnsi="Calibri"/>
          <w:b/>
          <w:sz w:val="28"/>
          <w:szCs w:val="28"/>
        </w:rPr>
        <w:t>Sympathomimetics</w:t>
      </w:r>
      <w:proofErr w:type="spellEnd"/>
    </w:p>
    <w:p w14:paraId="26D804CE" w14:textId="77777777" w:rsidR="00DE3169" w:rsidRDefault="00DE3169" w:rsidP="00DE3169">
      <w:pPr>
        <w:spacing w:line="220" w:lineRule="exact"/>
        <w:rPr>
          <w:rFonts w:ascii="Calibri" w:hAnsi="Calibri"/>
          <w:sz w:val="22"/>
          <w:szCs w:val="22"/>
        </w:rPr>
      </w:pPr>
    </w:p>
    <w:p w14:paraId="36792E62" w14:textId="61F53EFD" w:rsidR="00E832FB" w:rsidRDefault="00E832FB">
      <w:pPr>
        <w:rPr>
          <w:rFonts w:ascii="Calibri" w:hAnsi="Calibri"/>
          <w:sz w:val="22"/>
          <w:szCs w:val="22"/>
        </w:rPr>
      </w:pPr>
      <w:r>
        <w:rPr>
          <w:rFonts w:ascii="Calibri" w:hAnsi="Calibri"/>
          <w:sz w:val="22"/>
          <w:szCs w:val="22"/>
        </w:rPr>
        <w:t>Monoamine Oxidase (MAO) is a widely distributed enzyme that that oxidizes naturally occurring monoamines such as norepinephrine, serotonin, epinephrine, and dopamine to name a few.  Monoamines are responsible for homeostasis for a wide variety of physiological functions, including blood pressure, heart rate, respiratory rate and tone, and various metabolic processes.  Inhibition of the enzyme that oxidizes monoamines can result in lack of homeostasis due to excessive build up of monoamines in nerve endings, leading to severe hypertension, shock, cardiac failure, arrhythmias, anaphylaxis, and respiratory difficulties.</w:t>
      </w:r>
    </w:p>
    <w:p w14:paraId="187E6480" w14:textId="77777777" w:rsidR="00E832FB" w:rsidRDefault="00E832FB">
      <w:pPr>
        <w:rPr>
          <w:rFonts w:ascii="Calibri" w:hAnsi="Calibri"/>
          <w:sz w:val="22"/>
          <w:szCs w:val="22"/>
        </w:rPr>
      </w:pPr>
    </w:p>
    <w:p w14:paraId="7E7659FF" w14:textId="0EAF55C6" w:rsidR="00537C6C" w:rsidRDefault="00FD5C55">
      <w:pPr>
        <w:rPr>
          <w:rFonts w:ascii="Calibri" w:hAnsi="Calibri"/>
          <w:sz w:val="22"/>
          <w:szCs w:val="22"/>
        </w:rPr>
      </w:pPr>
      <w:r>
        <w:rPr>
          <w:rFonts w:ascii="Calibri" w:hAnsi="Calibri"/>
          <w:sz w:val="22"/>
          <w:szCs w:val="22"/>
        </w:rPr>
        <w:t xml:space="preserve">At least two </w:t>
      </w:r>
      <w:r w:rsidR="000D70C1">
        <w:rPr>
          <w:rFonts w:ascii="Calibri" w:hAnsi="Calibri"/>
          <w:sz w:val="22"/>
          <w:szCs w:val="22"/>
        </w:rPr>
        <w:t>isoenzymes</w:t>
      </w:r>
      <w:r>
        <w:rPr>
          <w:rFonts w:ascii="Calibri" w:hAnsi="Calibri"/>
          <w:sz w:val="22"/>
          <w:szCs w:val="22"/>
        </w:rPr>
        <w:t xml:space="preserve"> of MAO e</w:t>
      </w:r>
      <w:r w:rsidR="000D70C1">
        <w:rPr>
          <w:rFonts w:ascii="Calibri" w:hAnsi="Calibri"/>
          <w:sz w:val="22"/>
          <w:szCs w:val="22"/>
        </w:rPr>
        <w:t xml:space="preserve">nzymes exist, MAO-A and MAO-B.  Compounds that inhibit the MAO enzyme are classified into three groups: 1) nonselective; 2) selective for MAO-A; and 3) selective for MOA-B.  MAO-A is responsible for the de-amination of epinephrine, norepinephrine, and serotonin.  MAO-B is responsible for metabolizing </w:t>
      </w:r>
      <w:proofErr w:type="spellStart"/>
      <w:r w:rsidR="000D70C1">
        <w:rPr>
          <w:rFonts w:ascii="Calibri" w:hAnsi="Calibri"/>
          <w:sz w:val="22"/>
          <w:szCs w:val="22"/>
        </w:rPr>
        <w:t>phenylethylamine</w:t>
      </w:r>
      <w:proofErr w:type="spellEnd"/>
      <w:r w:rsidR="000D70C1">
        <w:rPr>
          <w:rFonts w:ascii="Calibri" w:hAnsi="Calibri"/>
          <w:sz w:val="22"/>
          <w:szCs w:val="22"/>
        </w:rPr>
        <w:t>.  Dopamine and tyramine are metabolized by both isoenzymes.</w:t>
      </w:r>
      <w:r w:rsidR="00537C6C">
        <w:rPr>
          <w:rFonts w:ascii="Calibri" w:hAnsi="Calibri"/>
          <w:sz w:val="22"/>
          <w:szCs w:val="22"/>
        </w:rPr>
        <w:t xml:space="preserve">  Products that inhibit</w:t>
      </w:r>
      <w:r w:rsidR="00452CEE">
        <w:rPr>
          <w:rFonts w:ascii="Calibri" w:hAnsi="Calibri"/>
          <w:sz w:val="22"/>
          <w:szCs w:val="22"/>
        </w:rPr>
        <w:t xml:space="preserve"> only</w:t>
      </w:r>
      <w:r w:rsidR="00537C6C">
        <w:rPr>
          <w:rFonts w:ascii="Calibri" w:hAnsi="Calibri"/>
          <w:sz w:val="22"/>
          <w:szCs w:val="22"/>
        </w:rPr>
        <w:t xml:space="preserve"> MOA-B are less likely to have a clinically significant interaction with stimulants and other catecholamine-like agents.  </w:t>
      </w:r>
    </w:p>
    <w:p w14:paraId="43E24E41" w14:textId="457CE59D" w:rsidR="00E832FB" w:rsidRDefault="00E832FB">
      <w:pPr>
        <w:rPr>
          <w:rFonts w:ascii="Calibri" w:hAnsi="Calibri"/>
          <w:sz w:val="22"/>
          <w:szCs w:val="22"/>
        </w:rPr>
      </w:pPr>
    </w:p>
    <w:p w14:paraId="63818609" w14:textId="3441C22A" w:rsidR="00537C6C" w:rsidRDefault="00537C6C">
      <w:pPr>
        <w:rPr>
          <w:rFonts w:ascii="Calibri" w:hAnsi="Calibri"/>
          <w:sz w:val="22"/>
          <w:szCs w:val="22"/>
        </w:rPr>
      </w:pPr>
      <w:r>
        <w:rPr>
          <w:rFonts w:ascii="Calibri" w:hAnsi="Calibri"/>
          <w:sz w:val="22"/>
          <w:szCs w:val="22"/>
        </w:rPr>
        <w:t>Because</w:t>
      </w:r>
      <w:r w:rsidR="00A46401">
        <w:rPr>
          <w:rFonts w:ascii="Calibri" w:hAnsi="Calibri"/>
          <w:sz w:val="22"/>
          <w:szCs w:val="22"/>
        </w:rPr>
        <w:t xml:space="preserve"> some</w:t>
      </w:r>
      <w:r>
        <w:rPr>
          <w:rFonts w:ascii="Calibri" w:hAnsi="Calibri"/>
          <w:sz w:val="22"/>
          <w:szCs w:val="22"/>
        </w:rPr>
        <w:t xml:space="preserve"> MOA inhibitors bind irreversibly to the MAO enzyme, they are considered suicide inhibitors.  The effect of irreversible binding is that the effects can last up to two weeks for normal metabolism to be restored.</w:t>
      </w:r>
      <w:r w:rsidR="00452CEE">
        <w:rPr>
          <w:rFonts w:ascii="Calibri" w:hAnsi="Calibri"/>
          <w:sz w:val="22"/>
          <w:szCs w:val="22"/>
        </w:rPr>
        <w:t xml:space="preserve">  </w:t>
      </w:r>
    </w:p>
    <w:p w14:paraId="777A3C6E" w14:textId="77777777" w:rsidR="00452CEE" w:rsidRDefault="00452CEE">
      <w:pPr>
        <w:rPr>
          <w:rFonts w:ascii="Calibri" w:hAnsi="Calibri"/>
          <w:sz w:val="22"/>
          <w:szCs w:val="22"/>
        </w:rPr>
      </w:pPr>
    </w:p>
    <w:p w14:paraId="2761FA67" w14:textId="6DE3B207" w:rsidR="00452CEE" w:rsidRPr="00B7022B" w:rsidRDefault="00452CEE">
      <w:pPr>
        <w:rPr>
          <w:rFonts w:asciiTheme="majorHAnsi" w:hAnsiTheme="majorHAnsi"/>
          <w:sz w:val="22"/>
          <w:szCs w:val="22"/>
        </w:rPr>
      </w:pPr>
      <w:r>
        <w:rPr>
          <w:rFonts w:ascii="Calibri" w:hAnsi="Calibri"/>
          <w:sz w:val="22"/>
          <w:szCs w:val="22"/>
        </w:rPr>
        <w:t xml:space="preserve">Indirect acting </w:t>
      </w:r>
      <w:proofErr w:type="spellStart"/>
      <w:r>
        <w:rPr>
          <w:rFonts w:ascii="Calibri" w:hAnsi="Calibri"/>
          <w:sz w:val="22"/>
          <w:szCs w:val="22"/>
        </w:rPr>
        <w:t>sympathomimetics</w:t>
      </w:r>
      <w:proofErr w:type="spellEnd"/>
      <w:r>
        <w:rPr>
          <w:rFonts w:ascii="Calibri" w:hAnsi="Calibri"/>
          <w:sz w:val="22"/>
          <w:szCs w:val="22"/>
        </w:rPr>
        <w:t xml:space="preserve"> exert their action by displacement of norepinephrine</w:t>
      </w:r>
      <w:r w:rsidR="00B7022B">
        <w:rPr>
          <w:rFonts w:ascii="Calibri" w:hAnsi="Calibri"/>
          <w:sz w:val="22"/>
          <w:szCs w:val="22"/>
        </w:rPr>
        <w:t xml:space="preserve"> and other</w:t>
      </w:r>
      <w:r>
        <w:rPr>
          <w:rFonts w:ascii="Calibri" w:hAnsi="Calibri"/>
          <w:sz w:val="22"/>
          <w:szCs w:val="22"/>
        </w:rPr>
        <w:t xml:space="preserve"> from storage sites in synaptic vesicles or displacement from </w:t>
      </w:r>
      <w:proofErr w:type="spellStart"/>
      <w:r>
        <w:rPr>
          <w:rFonts w:ascii="Calibri" w:hAnsi="Calibri"/>
          <w:sz w:val="22"/>
          <w:szCs w:val="22"/>
        </w:rPr>
        <w:t>extravesicular</w:t>
      </w:r>
      <w:proofErr w:type="spellEnd"/>
      <w:r>
        <w:rPr>
          <w:rFonts w:ascii="Calibri" w:hAnsi="Calibri"/>
          <w:sz w:val="22"/>
          <w:szCs w:val="22"/>
        </w:rPr>
        <w:t xml:space="preserve"> binding sites. </w:t>
      </w:r>
      <w:r w:rsidR="00B7022B">
        <w:rPr>
          <w:rFonts w:ascii="Calibri" w:hAnsi="Calibri"/>
          <w:sz w:val="22"/>
          <w:szCs w:val="22"/>
        </w:rPr>
        <w:t xml:space="preserve">Similarly, indirect acting </w:t>
      </w:r>
      <w:proofErr w:type="spellStart"/>
      <w:r w:rsidR="00B7022B">
        <w:rPr>
          <w:rFonts w:ascii="Calibri" w:hAnsi="Calibri"/>
          <w:sz w:val="22"/>
          <w:szCs w:val="22"/>
        </w:rPr>
        <w:t>sympathomimetics</w:t>
      </w:r>
      <w:proofErr w:type="spellEnd"/>
      <w:r w:rsidR="00B7022B">
        <w:rPr>
          <w:rFonts w:ascii="Calibri" w:hAnsi="Calibri"/>
          <w:sz w:val="22"/>
          <w:szCs w:val="22"/>
        </w:rPr>
        <w:t xml:space="preserve"> stimulate increase in endogenous serotonin leading to </w:t>
      </w:r>
      <w:r>
        <w:rPr>
          <w:rFonts w:ascii="Calibri" w:hAnsi="Calibri"/>
          <w:sz w:val="22"/>
          <w:szCs w:val="22"/>
        </w:rPr>
        <w:t>serotonin syndrome, a clinic</w:t>
      </w:r>
      <w:r w:rsidRPr="00B7022B">
        <w:rPr>
          <w:rFonts w:asciiTheme="majorHAnsi" w:hAnsiTheme="majorHAnsi"/>
          <w:sz w:val="22"/>
          <w:szCs w:val="22"/>
        </w:rPr>
        <w:t>al conditi</w:t>
      </w:r>
      <w:r w:rsidR="00B7022B">
        <w:rPr>
          <w:rFonts w:asciiTheme="majorHAnsi" w:hAnsiTheme="majorHAnsi"/>
          <w:sz w:val="22"/>
          <w:szCs w:val="22"/>
        </w:rPr>
        <w:t>on involving</w:t>
      </w:r>
      <w:r w:rsidR="00B7022B" w:rsidRPr="00B7022B">
        <w:rPr>
          <w:rStyle w:val="normaltextrun"/>
          <w:rFonts w:asciiTheme="majorHAnsi" w:hAnsiTheme="majorHAnsi"/>
          <w:color w:val="000000" w:themeColor="text1"/>
          <w:sz w:val="22"/>
          <w:szCs w:val="22"/>
        </w:rPr>
        <w:t xml:space="preserve"> altered mental status, neuromuscular abnormalities, and autonomic instability.</w:t>
      </w:r>
      <w:r w:rsidR="00B7022B">
        <w:rPr>
          <w:rStyle w:val="normaltextrun"/>
          <w:rFonts w:asciiTheme="majorHAnsi" w:hAnsiTheme="majorHAnsi"/>
          <w:color w:val="000000" w:themeColor="text1"/>
          <w:sz w:val="22"/>
          <w:szCs w:val="22"/>
        </w:rPr>
        <w:t xml:space="preserve"> </w:t>
      </w:r>
    </w:p>
    <w:p w14:paraId="1902BD6C" w14:textId="77777777" w:rsidR="00FD5C55" w:rsidRDefault="00FD5C55">
      <w:pPr>
        <w:rPr>
          <w:rFonts w:ascii="Calibri" w:hAnsi="Calibri"/>
          <w:sz w:val="22"/>
          <w:szCs w:val="22"/>
        </w:rPr>
      </w:pPr>
    </w:p>
    <w:p w14:paraId="79205C16" w14:textId="77777777" w:rsidR="00CC5826" w:rsidRDefault="00CC5826">
      <w:pPr>
        <w:rPr>
          <w:rFonts w:ascii="Calibri" w:hAnsi="Calibri"/>
          <w:sz w:val="22"/>
          <w:szCs w:val="22"/>
        </w:rPr>
      </w:pPr>
    </w:p>
    <w:tbl>
      <w:tblPr>
        <w:tblStyle w:val="TableGrid"/>
        <w:tblW w:w="14319" w:type="dxa"/>
        <w:tblLayout w:type="fixed"/>
        <w:tblCellMar>
          <w:left w:w="115" w:type="dxa"/>
          <w:right w:w="115" w:type="dxa"/>
        </w:tblCellMar>
        <w:tblLook w:val="04A0" w:firstRow="1" w:lastRow="0" w:firstColumn="1" w:lastColumn="0" w:noHBand="0" w:noVBand="1"/>
      </w:tblPr>
      <w:tblGrid>
        <w:gridCol w:w="3535"/>
        <w:gridCol w:w="3064"/>
        <w:gridCol w:w="4140"/>
        <w:gridCol w:w="3416"/>
        <w:gridCol w:w="164"/>
      </w:tblGrid>
      <w:tr w:rsidR="004229FD" w:rsidRPr="00CE2944" w14:paraId="7E75E70C" w14:textId="146B6B14" w:rsidTr="004229FD">
        <w:trPr>
          <w:gridAfter w:val="1"/>
          <w:wAfter w:w="164" w:type="dxa"/>
          <w:trHeight w:val="467"/>
        </w:trPr>
        <w:tc>
          <w:tcPr>
            <w:tcW w:w="3535" w:type="dxa"/>
            <w:tcBorders>
              <w:right w:val="thinThickSmallGap" w:sz="24" w:space="0" w:color="auto"/>
            </w:tcBorders>
          </w:tcPr>
          <w:p w14:paraId="0D497480" w14:textId="0C476690" w:rsidR="00AB1ADE" w:rsidRPr="00CE2944" w:rsidRDefault="00AB1ADE" w:rsidP="004229FD">
            <w:pPr>
              <w:spacing w:line="220" w:lineRule="exact"/>
              <w:rPr>
                <w:rFonts w:ascii="Calibri" w:hAnsi="Calibri"/>
                <w:sz w:val="22"/>
                <w:szCs w:val="22"/>
              </w:rPr>
            </w:pPr>
            <w:r>
              <w:rPr>
                <w:rFonts w:ascii="Calibri" w:hAnsi="Calibri"/>
                <w:sz w:val="22"/>
                <w:szCs w:val="22"/>
              </w:rPr>
              <w:t xml:space="preserve">Type of </w:t>
            </w:r>
            <w:r w:rsidR="004229FD">
              <w:rPr>
                <w:rFonts w:ascii="Calibri" w:hAnsi="Calibri"/>
                <w:sz w:val="22"/>
                <w:szCs w:val="22"/>
              </w:rPr>
              <w:t>Monoamine Oxidase Inhibitor</w:t>
            </w:r>
            <w:r w:rsidR="003D07CA" w:rsidRPr="003D07CA">
              <w:rPr>
                <w:rFonts w:ascii="Calibri" w:hAnsi="Calibri"/>
                <w:sz w:val="22"/>
                <w:szCs w:val="22"/>
                <w:vertAlign w:val="superscript"/>
              </w:rPr>
              <w:t>1</w:t>
            </w:r>
          </w:p>
        </w:tc>
        <w:tc>
          <w:tcPr>
            <w:tcW w:w="3064" w:type="dxa"/>
          </w:tcPr>
          <w:p w14:paraId="665A9B0B" w14:textId="1B037AB7" w:rsidR="00AB1ADE" w:rsidRPr="00CE2944" w:rsidRDefault="004229FD" w:rsidP="004229FD">
            <w:pPr>
              <w:spacing w:line="220" w:lineRule="exact"/>
              <w:jc w:val="center"/>
              <w:rPr>
                <w:rFonts w:ascii="Calibri" w:hAnsi="Calibri"/>
                <w:sz w:val="22"/>
                <w:szCs w:val="22"/>
              </w:rPr>
            </w:pPr>
            <w:r>
              <w:rPr>
                <w:rFonts w:ascii="Calibri" w:hAnsi="Calibri"/>
                <w:sz w:val="22"/>
                <w:szCs w:val="22"/>
                <w:u w:val="single"/>
              </w:rPr>
              <w:t>Monoamine Oxidase A Inhibitors</w:t>
            </w:r>
          </w:p>
        </w:tc>
        <w:tc>
          <w:tcPr>
            <w:tcW w:w="4140" w:type="dxa"/>
          </w:tcPr>
          <w:p w14:paraId="3CFAD97A" w14:textId="4BF32FCE" w:rsidR="00AB1ADE" w:rsidRPr="00CE2944" w:rsidRDefault="004229FD" w:rsidP="00A87FFC">
            <w:pPr>
              <w:spacing w:line="220" w:lineRule="exact"/>
              <w:jc w:val="center"/>
              <w:rPr>
                <w:rFonts w:ascii="Calibri" w:hAnsi="Calibri"/>
                <w:sz w:val="22"/>
                <w:szCs w:val="22"/>
              </w:rPr>
            </w:pPr>
            <w:r>
              <w:rPr>
                <w:rFonts w:ascii="Calibri" w:hAnsi="Calibri"/>
                <w:sz w:val="22"/>
                <w:szCs w:val="22"/>
                <w:u w:val="single"/>
              </w:rPr>
              <w:t>Monoamine Oxidase B Inhibitors</w:t>
            </w:r>
          </w:p>
        </w:tc>
        <w:tc>
          <w:tcPr>
            <w:tcW w:w="3416" w:type="dxa"/>
          </w:tcPr>
          <w:p w14:paraId="77F7993B" w14:textId="33C4DFFA" w:rsidR="00AB1ADE" w:rsidRPr="00A87FFC" w:rsidRDefault="004229FD" w:rsidP="003150B5">
            <w:pPr>
              <w:spacing w:line="220" w:lineRule="exact"/>
              <w:jc w:val="center"/>
              <w:rPr>
                <w:rFonts w:ascii="Calibri" w:hAnsi="Calibri"/>
                <w:sz w:val="22"/>
                <w:szCs w:val="22"/>
              </w:rPr>
            </w:pPr>
            <w:r>
              <w:rPr>
                <w:rFonts w:ascii="Calibri" w:hAnsi="Calibri"/>
                <w:sz w:val="22"/>
                <w:szCs w:val="22"/>
                <w:u w:val="single"/>
              </w:rPr>
              <w:t>Non-Selective Monoamine Oxidase Inhibitors</w:t>
            </w:r>
          </w:p>
        </w:tc>
      </w:tr>
      <w:tr w:rsidR="004229FD" w:rsidRPr="00CE2944" w14:paraId="63BEF7E2" w14:textId="2899629C" w:rsidTr="00291F63">
        <w:tc>
          <w:tcPr>
            <w:tcW w:w="3535" w:type="dxa"/>
            <w:tcBorders>
              <w:bottom w:val="thinThickSmallGap" w:sz="24" w:space="0" w:color="auto"/>
              <w:right w:val="thinThickSmallGap" w:sz="24" w:space="0" w:color="auto"/>
            </w:tcBorders>
          </w:tcPr>
          <w:p w14:paraId="1294D2F6" w14:textId="77777777" w:rsidR="004229FD" w:rsidRPr="00CE2944" w:rsidRDefault="004229FD" w:rsidP="000E477B">
            <w:pPr>
              <w:spacing w:line="220" w:lineRule="exact"/>
              <w:rPr>
                <w:rFonts w:ascii="Calibri" w:hAnsi="Calibri"/>
                <w:sz w:val="22"/>
                <w:szCs w:val="22"/>
              </w:rPr>
            </w:pPr>
          </w:p>
        </w:tc>
        <w:tc>
          <w:tcPr>
            <w:tcW w:w="3064" w:type="dxa"/>
            <w:tcBorders>
              <w:bottom w:val="thinThickSmallGap" w:sz="24" w:space="0" w:color="auto"/>
            </w:tcBorders>
          </w:tcPr>
          <w:p w14:paraId="76C829F9" w14:textId="77777777" w:rsidR="004229FD" w:rsidRDefault="004229FD" w:rsidP="000E477B">
            <w:pPr>
              <w:spacing w:line="220" w:lineRule="exact"/>
              <w:jc w:val="center"/>
              <w:rPr>
                <w:rFonts w:ascii="Calibri" w:hAnsi="Calibri"/>
                <w:sz w:val="22"/>
                <w:szCs w:val="22"/>
              </w:rPr>
            </w:pPr>
            <w:proofErr w:type="spellStart"/>
            <w:r>
              <w:rPr>
                <w:rFonts w:ascii="Calibri" w:hAnsi="Calibri"/>
                <w:sz w:val="22"/>
                <w:szCs w:val="22"/>
              </w:rPr>
              <w:t>Moclobemide</w:t>
            </w:r>
            <w:proofErr w:type="spellEnd"/>
          </w:p>
          <w:p w14:paraId="7D938991" w14:textId="6EA4269A" w:rsidR="004229FD" w:rsidRPr="00CE2944" w:rsidRDefault="004229FD" w:rsidP="000E477B">
            <w:pPr>
              <w:spacing w:line="220" w:lineRule="exact"/>
              <w:jc w:val="center"/>
              <w:rPr>
                <w:rFonts w:ascii="Calibri" w:hAnsi="Calibri"/>
                <w:sz w:val="22"/>
                <w:szCs w:val="22"/>
              </w:rPr>
            </w:pPr>
            <w:proofErr w:type="spellStart"/>
            <w:r>
              <w:rPr>
                <w:rFonts w:ascii="Calibri" w:hAnsi="Calibri"/>
                <w:sz w:val="22"/>
                <w:szCs w:val="22"/>
              </w:rPr>
              <w:t>Clorglyine</w:t>
            </w:r>
            <w:proofErr w:type="spellEnd"/>
          </w:p>
        </w:tc>
        <w:tc>
          <w:tcPr>
            <w:tcW w:w="4140" w:type="dxa"/>
            <w:tcBorders>
              <w:bottom w:val="thinThickSmallGap" w:sz="24" w:space="0" w:color="auto"/>
            </w:tcBorders>
          </w:tcPr>
          <w:p w14:paraId="2A69C214" w14:textId="51EC4132" w:rsidR="004229FD" w:rsidRDefault="004229FD" w:rsidP="000E477B">
            <w:pPr>
              <w:spacing w:line="220" w:lineRule="exact"/>
              <w:jc w:val="center"/>
              <w:rPr>
                <w:rFonts w:ascii="Calibri" w:hAnsi="Calibri"/>
                <w:sz w:val="22"/>
                <w:szCs w:val="22"/>
              </w:rPr>
            </w:pPr>
            <w:r>
              <w:rPr>
                <w:rFonts w:ascii="Calibri" w:hAnsi="Calibri"/>
                <w:sz w:val="22"/>
                <w:szCs w:val="22"/>
              </w:rPr>
              <w:t>Selegiline</w:t>
            </w:r>
            <w:r w:rsidR="00616C28" w:rsidRPr="00616C28">
              <w:rPr>
                <w:rFonts w:ascii="Calibri" w:hAnsi="Calibri"/>
                <w:sz w:val="22"/>
                <w:szCs w:val="22"/>
                <w:vertAlign w:val="superscript"/>
              </w:rPr>
              <w:t>2</w:t>
            </w:r>
          </w:p>
          <w:p w14:paraId="57F6C86B" w14:textId="69910160" w:rsidR="004229FD" w:rsidRPr="00CE2944" w:rsidRDefault="004229FD" w:rsidP="000E477B">
            <w:pPr>
              <w:spacing w:line="220" w:lineRule="exact"/>
              <w:jc w:val="center"/>
              <w:rPr>
                <w:rFonts w:ascii="Calibri" w:hAnsi="Calibri"/>
                <w:sz w:val="22"/>
                <w:szCs w:val="22"/>
              </w:rPr>
            </w:pPr>
            <w:proofErr w:type="spellStart"/>
            <w:r>
              <w:rPr>
                <w:rFonts w:ascii="Calibri" w:hAnsi="Calibri"/>
                <w:sz w:val="22"/>
                <w:szCs w:val="22"/>
              </w:rPr>
              <w:t>Rasagiline</w:t>
            </w:r>
            <w:proofErr w:type="spellEnd"/>
          </w:p>
        </w:tc>
        <w:tc>
          <w:tcPr>
            <w:tcW w:w="3580" w:type="dxa"/>
            <w:gridSpan w:val="2"/>
            <w:tcBorders>
              <w:bottom w:val="thinThickSmallGap" w:sz="24" w:space="0" w:color="auto"/>
            </w:tcBorders>
          </w:tcPr>
          <w:p w14:paraId="311D5B8E" w14:textId="77777777" w:rsidR="004229FD" w:rsidRDefault="004229FD" w:rsidP="000E477B">
            <w:pPr>
              <w:spacing w:line="220" w:lineRule="exact"/>
              <w:jc w:val="center"/>
              <w:rPr>
                <w:rFonts w:ascii="Calibri" w:hAnsi="Calibri"/>
                <w:sz w:val="22"/>
                <w:szCs w:val="22"/>
              </w:rPr>
            </w:pPr>
            <w:proofErr w:type="spellStart"/>
            <w:r>
              <w:rPr>
                <w:rFonts w:ascii="Calibri" w:hAnsi="Calibri"/>
                <w:sz w:val="22"/>
                <w:szCs w:val="22"/>
              </w:rPr>
              <w:t>Isocarboxazid</w:t>
            </w:r>
            <w:proofErr w:type="spellEnd"/>
          </w:p>
          <w:p w14:paraId="4E4E1C45" w14:textId="6D4EC6DD" w:rsidR="004229FD" w:rsidRDefault="004229FD" w:rsidP="000E477B">
            <w:pPr>
              <w:spacing w:line="220" w:lineRule="exact"/>
              <w:jc w:val="center"/>
              <w:rPr>
                <w:rFonts w:ascii="Calibri" w:hAnsi="Calibri"/>
                <w:sz w:val="22"/>
                <w:szCs w:val="22"/>
              </w:rPr>
            </w:pPr>
            <w:proofErr w:type="spellStart"/>
            <w:r>
              <w:rPr>
                <w:rFonts w:ascii="Calibri" w:hAnsi="Calibri"/>
                <w:sz w:val="22"/>
                <w:szCs w:val="22"/>
              </w:rPr>
              <w:t>Phenelzine</w:t>
            </w:r>
            <w:proofErr w:type="spellEnd"/>
          </w:p>
          <w:p w14:paraId="1F68CC1F" w14:textId="02300F30" w:rsidR="004229FD" w:rsidRPr="00CE2944" w:rsidRDefault="004229FD" w:rsidP="004229FD">
            <w:pPr>
              <w:spacing w:line="220" w:lineRule="exact"/>
              <w:jc w:val="center"/>
              <w:rPr>
                <w:rFonts w:ascii="Calibri" w:hAnsi="Calibri"/>
                <w:sz w:val="22"/>
                <w:szCs w:val="22"/>
              </w:rPr>
            </w:pPr>
            <w:r>
              <w:rPr>
                <w:rFonts w:ascii="Calibri" w:hAnsi="Calibri"/>
                <w:sz w:val="22"/>
                <w:szCs w:val="22"/>
              </w:rPr>
              <w:t>Tranylcypromine</w:t>
            </w:r>
          </w:p>
        </w:tc>
      </w:tr>
      <w:tr w:rsidR="004229FD" w:rsidRPr="00CE2944" w14:paraId="1E01E217" w14:textId="1EE6571F" w:rsidTr="004229FD">
        <w:trPr>
          <w:trHeight w:val="225"/>
        </w:trPr>
        <w:tc>
          <w:tcPr>
            <w:tcW w:w="3535" w:type="dxa"/>
            <w:tcBorders>
              <w:right w:val="thinThickSmallGap" w:sz="24" w:space="0" w:color="auto"/>
            </w:tcBorders>
          </w:tcPr>
          <w:p w14:paraId="7C8EA56D" w14:textId="4AF367F4" w:rsidR="004229FD" w:rsidRPr="00CE2944" w:rsidRDefault="004229FD" w:rsidP="00F122D7">
            <w:pPr>
              <w:spacing w:line="220" w:lineRule="exact"/>
              <w:rPr>
                <w:rFonts w:ascii="Calibri" w:hAnsi="Calibri"/>
                <w:sz w:val="22"/>
                <w:szCs w:val="22"/>
              </w:rPr>
            </w:pPr>
            <w:r>
              <w:rPr>
                <w:rFonts w:ascii="Calibri" w:hAnsi="Calibri"/>
                <w:sz w:val="22"/>
                <w:szCs w:val="22"/>
              </w:rPr>
              <w:t xml:space="preserve">Amphetamine </w:t>
            </w:r>
          </w:p>
        </w:tc>
        <w:tc>
          <w:tcPr>
            <w:tcW w:w="3064" w:type="dxa"/>
            <w:tcBorders>
              <w:right w:val="single" w:sz="4" w:space="0" w:color="auto"/>
            </w:tcBorders>
          </w:tcPr>
          <w:p w14:paraId="0675B5E5" w14:textId="54294C01" w:rsidR="004229FD" w:rsidRPr="000E477B" w:rsidRDefault="004229FD" w:rsidP="00F23080">
            <w:pPr>
              <w:spacing w:line="220" w:lineRule="exact"/>
              <w:jc w:val="center"/>
              <w:rPr>
                <w:rFonts w:ascii="Calibri" w:hAnsi="Calibri"/>
                <w:sz w:val="18"/>
                <w:szCs w:val="18"/>
              </w:rPr>
            </w:pPr>
            <w:r w:rsidRPr="000E477B">
              <w:rPr>
                <w:rFonts w:ascii="Wingdings" w:hAnsi="Wingdings"/>
                <w:color w:val="FF0080"/>
                <w:sz w:val="18"/>
                <w:szCs w:val="18"/>
              </w:rPr>
              <w:t></w:t>
            </w:r>
          </w:p>
        </w:tc>
        <w:tc>
          <w:tcPr>
            <w:tcW w:w="4140" w:type="dxa"/>
          </w:tcPr>
          <w:p w14:paraId="7B3AD324" w14:textId="19793677" w:rsidR="004229FD" w:rsidRPr="000E477B" w:rsidRDefault="00A46401" w:rsidP="000E477B">
            <w:pPr>
              <w:spacing w:line="220" w:lineRule="exact"/>
              <w:jc w:val="center"/>
              <w:rPr>
                <w:rFonts w:ascii="Calibri" w:hAnsi="Calibri"/>
                <w:sz w:val="18"/>
                <w:szCs w:val="18"/>
              </w:rPr>
            </w:pPr>
            <w:r w:rsidRPr="000E477B">
              <w:rPr>
                <w:rFonts w:ascii="Wingdings" w:hAnsi="Wingdings"/>
                <w:color w:val="FCC00A"/>
                <w:sz w:val="20"/>
                <w:szCs w:val="20"/>
              </w:rPr>
              <w:t></w:t>
            </w:r>
          </w:p>
        </w:tc>
        <w:tc>
          <w:tcPr>
            <w:tcW w:w="3580" w:type="dxa"/>
            <w:gridSpan w:val="2"/>
          </w:tcPr>
          <w:p w14:paraId="05A907AC" w14:textId="2579FE9B" w:rsidR="004229FD" w:rsidRPr="000E477B" w:rsidRDefault="004229FD" w:rsidP="00F23080">
            <w:pPr>
              <w:spacing w:line="220" w:lineRule="exact"/>
              <w:jc w:val="center"/>
              <w:rPr>
                <w:rFonts w:ascii="Calibri" w:hAnsi="Calibri"/>
                <w:sz w:val="18"/>
                <w:szCs w:val="18"/>
              </w:rPr>
            </w:pPr>
            <w:r w:rsidRPr="000E477B">
              <w:rPr>
                <w:rFonts w:ascii="Wingdings" w:hAnsi="Wingdings"/>
                <w:color w:val="FF0080"/>
                <w:sz w:val="20"/>
                <w:szCs w:val="20"/>
              </w:rPr>
              <w:t></w:t>
            </w:r>
          </w:p>
        </w:tc>
      </w:tr>
      <w:tr w:rsidR="004229FD" w:rsidRPr="00CE2944" w14:paraId="12829403" w14:textId="6E1E95C2" w:rsidTr="00887185">
        <w:tc>
          <w:tcPr>
            <w:tcW w:w="3535" w:type="dxa"/>
            <w:tcBorders>
              <w:right w:val="thinThickSmallGap" w:sz="24" w:space="0" w:color="auto"/>
            </w:tcBorders>
          </w:tcPr>
          <w:p w14:paraId="48BB9E44" w14:textId="379CCF39" w:rsidR="004229FD" w:rsidRPr="00CE2944" w:rsidRDefault="00A217AF" w:rsidP="000E477B">
            <w:pPr>
              <w:spacing w:line="220" w:lineRule="exact"/>
              <w:rPr>
                <w:rFonts w:ascii="Calibri" w:hAnsi="Calibri"/>
                <w:sz w:val="22"/>
                <w:szCs w:val="22"/>
              </w:rPr>
            </w:pPr>
            <w:proofErr w:type="spellStart"/>
            <w:r>
              <w:rPr>
                <w:rFonts w:ascii="Calibri" w:hAnsi="Calibri"/>
                <w:sz w:val="22"/>
                <w:szCs w:val="22"/>
              </w:rPr>
              <w:t>Dextroamphetamine</w:t>
            </w:r>
            <w:proofErr w:type="spellEnd"/>
          </w:p>
        </w:tc>
        <w:tc>
          <w:tcPr>
            <w:tcW w:w="3064" w:type="dxa"/>
            <w:tcBorders>
              <w:right w:val="single" w:sz="4" w:space="0" w:color="auto"/>
            </w:tcBorders>
          </w:tcPr>
          <w:p w14:paraId="5F309352" w14:textId="671AC9DC" w:rsidR="004229FD" w:rsidRPr="000E477B" w:rsidRDefault="00F23080" w:rsidP="000E477B">
            <w:pPr>
              <w:spacing w:line="220" w:lineRule="exact"/>
              <w:jc w:val="center"/>
              <w:rPr>
                <w:rFonts w:ascii="Calibri" w:hAnsi="Calibri"/>
                <w:sz w:val="18"/>
                <w:szCs w:val="18"/>
              </w:rPr>
            </w:pPr>
            <w:r w:rsidRPr="000E477B">
              <w:rPr>
                <w:rFonts w:ascii="Wingdings" w:hAnsi="Wingdings"/>
                <w:color w:val="FF0080"/>
                <w:sz w:val="20"/>
                <w:szCs w:val="20"/>
              </w:rPr>
              <w:t></w:t>
            </w:r>
          </w:p>
        </w:tc>
        <w:tc>
          <w:tcPr>
            <w:tcW w:w="4140" w:type="dxa"/>
          </w:tcPr>
          <w:p w14:paraId="78BAEAC6" w14:textId="461F4C6A" w:rsidR="004229FD" w:rsidRPr="000E477B" w:rsidRDefault="00A46401" w:rsidP="000E477B">
            <w:pPr>
              <w:spacing w:line="220" w:lineRule="exact"/>
              <w:jc w:val="center"/>
              <w:rPr>
                <w:rFonts w:ascii="Calibri" w:hAnsi="Calibri"/>
                <w:sz w:val="18"/>
                <w:szCs w:val="18"/>
              </w:rPr>
            </w:pPr>
            <w:r w:rsidRPr="000E477B">
              <w:rPr>
                <w:rFonts w:ascii="Wingdings" w:hAnsi="Wingdings"/>
                <w:color w:val="FCC00A"/>
                <w:sz w:val="20"/>
                <w:szCs w:val="20"/>
              </w:rPr>
              <w:t></w:t>
            </w:r>
          </w:p>
        </w:tc>
        <w:tc>
          <w:tcPr>
            <w:tcW w:w="3580" w:type="dxa"/>
            <w:gridSpan w:val="2"/>
          </w:tcPr>
          <w:p w14:paraId="26641EB4" w14:textId="47C68255" w:rsidR="004229FD" w:rsidRPr="000E477B" w:rsidRDefault="00F23080" w:rsidP="000E477B">
            <w:pPr>
              <w:spacing w:line="220" w:lineRule="exact"/>
              <w:jc w:val="center"/>
              <w:rPr>
                <w:rFonts w:ascii="Calibri" w:hAnsi="Calibri"/>
                <w:sz w:val="18"/>
                <w:szCs w:val="18"/>
              </w:rPr>
            </w:pPr>
            <w:r w:rsidRPr="000E477B">
              <w:rPr>
                <w:rFonts w:ascii="Wingdings" w:hAnsi="Wingdings"/>
                <w:color w:val="FF0080"/>
                <w:sz w:val="20"/>
                <w:szCs w:val="20"/>
              </w:rPr>
              <w:t></w:t>
            </w:r>
          </w:p>
        </w:tc>
      </w:tr>
      <w:tr w:rsidR="00A217AF" w:rsidRPr="00CE2944" w14:paraId="3128E936" w14:textId="77777777" w:rsidTr="00887185">
        <w:tc>
          <w:tcPr>
            <w:tcW w:w="3535" w:type="dxa"/>
            <w:tcBorders>
              <w:right w:val="thinThickSmallGap" w:sz="24" w:space="0" w:color="auto"/>
            </w:tcBorders>
          </w:tcPr>
          <w:p w14:paraId="49E6F65B" w14:textId="789B462F" w:rsidR="00A217AF" w:rsidRDefault="00713806" w:rsidP="000E477B">
            <w:pPr>
              <w:spacing w:line="220" w:lineRule="exact"/>
              <w:rPr>
                <w:rFonts w:ascii="Calibri" w:hAnsi="Calibri"/>
                <w:sz w:val="22"/>
                <w:szCs w:val="22"/>
              </w:rPr>
            </w:pPr>
            <w:r>
              <w:rPr>
                <w:rFonts w:ascii="Calibri" w:hAnsi="Calibri"/>
                <w:sz w:val="22"/>
                <w:szCs w:val="22"/>
              </w:rPr>
              <w:t>Cocaine</w:t>
            </w:r>
          </w:p>
        </w:tc>
        <w:tc>
          <w:tcPr>
            <w:tcW w:w="3064" w:type="dxa"/>
            <w:tcBorders>
              <w:right w:val="single" w:sz="4" w:space="0" w:color="auto"/>
            </w:tcBorders>
          </w:tcPr>
          <w:p w14:paraId="3C85CBC3" w14:textId="09BEEA65" w:rsidR="00A217AF" w:rsidRPr="000E477B" w:rsidRDefault="00F23080" w:rsidP="000E477B">
            <w:pPr>
              <w:spacing w:line="220" w:lineRule="exact"/>
              <w:jc w:val="center"/>
              <w:rPr>
                <w:rFonts w:ascii="Calibri" w:hAnsi="Calibri"/>
                <w:sz w:val="18"/>
                <w:szCs w:val="18"/>
              </w:rPr>
            </w:pPr>
            <w:r w:rsidRPr="000E477B">
              <w:rPr>
                <w:rFonts w:ascii="Wingdings" w:hAnsi="Wingdings"/>
                <w:color w:val="FF0080"/>
                <w:sz w:val="20"/>
                <w:szCs w:val="20"/>
              </w:rPr>
              <w:t></w:t>
            </w:r>
          </w:p>
        </w:tc>
        <w:tc>
          <w:tcPr>
            <w:tcW w:w="4140" w:type="dxa"/>
          </w:tcPr>
          <w:p w14:paraId="73E6D559" w14:textId="174372F2" w:rsidR="00A217AF" w:rsidRPr="000E477B" w:rsidRDefault="00A46401" w:rsidP="000E477B">
            <w:pPr>
              <w:spacing w:line="220" w:lineRule="exact"/>
              <w:jc w:val="center"/>
              <w:rPr>
                <w:rFonts w:ascii="Calibri" w:hAnsi="Calibri"/>
                <w:sz w:val="18"/>
                <w:szCs w:val="18"/>
              </w:rPr>
            </w:pPr>
            <w:r w:rsidRPr="000E477B">
              <w:rPr>
                <w:rFonts w:ascii="Wingdings" w:hAnsi="Wingdings"/>
                <w:color w:val="FCC00A"/>
                <w:sz w:val="20"/>
                <w:szCs w:val="20"/>
              </w:rPr>
              <w:t></w:t>
            </w:r>
          </w:p>
        </w:tc>
        <w:tc>
          <w:tcPr>
            <w:tcW w:w="3580" w:type="dxa"/>
            <w:gridSpan w:val="2"/>
          </w:tcPr>
          <w:p w14:paraId="7993AB8B" w14:textId="2582DA9C" w:rsidR="00A217AF" w:rsidRPr="000E477B" w:rsidRDefault="00F23080" w:rsidP="000E477B">
            <w:pPr>
              <w:spacing w:line="220" w:lineRule="exact"/>
              <w:jc w:val="center"/>
              <w:rPr>
                <w:rFonts w:ascii="Calibri" w:hAnsi="Calibri"/>
                <w:sz w:val="18"/>
                <w:szCs w:val="18"/>
              </w:rPr>
            </w:pPr>
            <w:r w:rsidRPr="000E477B">
              <w:rPr>
                <w:rFonts w:ascii="Wingdings" w:hAnsi="Wingdings"/>
                <w:color w:val="FF0080"/>
                <w:sz w:val="20"/>
                <w:szCs w:val="20"/>
              </w:rPr>
              <w:t></w:t>
            </w:r>
          </w:p>
        </w:tc>
      </w:tr>
      <w:tr w:rsidR="00713806" w:rsidRPr="00CE2944" w14:paraId="2039DD01" w14:textId="77777777" w:rsidTr="00887185">
        <w:tc>
          <w:tcPr>
            <w:tcW w:w="3535" w:type="dxa"/>
            <w:tcBorders>
              <w:right w:val="thinThickSmallGap" w:sz="24" w:space="0" w:color="auto"/>
            </w:tcBorders>
          </w:tcPr>
          <w:p w14:paraId="35B3320A" w14:textId="2A365604" w:rsidR="00713806" w:rsidRDefault="00713806" w:rsidP="000E477B">
            <w:pPr>
              <w:spacing w:line="220" w:lineRule="exact"/>
              <w:rPr>
                <w:rFonts w:ascii="Calibri" w:hAnsi="Calibri"/>
                <w:sz w:val="22"/>
                <w:szCs w:val="22"/>
              </w:rPr>
            </w:pPr>
            <w:r>
              <w:rPr>
                <w:rFonts w:ascii="Calibri" w:hAnsi="Calibri"/>
                <w:sz w:val="22"/>
                <w:szCs w:val="22"/>
              </w:rPr>
              <w:t>Imipramine</w:t>
            </w:r>
            <w:r w:rsidR="003D07CA" w:rsidRPr="003D07CA">
              <w:rPr>
                <w:rFonts w:ascii="Calibri" w:hAnsi="Calibri"/>
                <w:sz w:val="22"/>
                <w:szCs w:val="22"/>
                <w:vertAlign w:val="superscript"/>
              </w:rPr>
              <w:t>3</w:t>
            </w:r>
          </w:p>
        </w:tc>
        <w:tc>
          <w:tcPr>
            <w:tcW w:w="3064" w:type="dxa"/>
            <w:tcBorders>
              <w:right w:val="single" w:sz="4" w:space="0" w:color="auto"/>
            </w:tcBorders>
          </w:tcPr>
          <w:p w14:paraId="36936ECB" w14:textId="7C32E6A0" w:rsidR="00713806" w:rsidRPr="000E477B" w:rsidRDefault="00F23080" w:rsidP="000E477B">
            <w:pPr>
              <w:spacing w:line="220" w:lineRule="exact"/>
              <w:jc w:val="center"/>
              <w:rPr>
                <w:rFonts w:ascii="Calibri" w:hAnsi="Calibri"/>
                <w:sz w:val="18"/>
                <w:szCs w:val="18"/>
              </w:rPr>
            </w:pPr>
            <w:r w:rsidRPr="000E477B">
              <w:rPr>
                <w:rFonts w:ascii="Wingdings" w:hAnsi="Wingdings"/>
                <w:color w:val="FF0080"/>
                <w:sz w:val="20"/>
                <w:szCs w:val="20"/>
              </w:rPr>
              <w:t></w:t>
            </w:r>
          </w:p>
        </w:tc>
        <w:tc>
          <w:tcPr>
            <w:tcW w:w="4140" w:type="dxa"/>
          </w:tcPr>
          <w:p w14:paraId="510E2E52" w14:textId="5E7A21D1" w:rsidR="00713806" w:rsidRPr="000E477B" w:rsidRDefault="00A46401" w:rsidP="000E477B">
            <w:pPr>
              <w:spacing w:line="220" w:lineRule="exact"/>
              <w:jc w:val="center"/>
              <w:rPr>
                <w:rFonts w:ascii="Calibri" w:hAnsi="Calibri"/>
                <w:sz w:val="18"/>
                <w:szCs w:val="18"/>
              </w:rPr>
            </w:pPr>
            <w:r w:rsidRPr="000E477B">
              <w:rPr>
                <w:rFonts w:ascii="Wingdings" w:hAnsi="Wingdings"/>
                <w:color w:val="FCC00A"/>
                <w:sz w:val="20"/>
                <w:szCs w:val="20"/>
              </w:rPr>
              <w:t></w:t>
            </w:r>
          </w:p>
        </w:tc>
        <w:tc>
          <w:tcPr>
            <w:tcW w:w="3580" w:type="dxa"/>
            <w:gridSpan w:val="2"/>
          </w:tcPr>
          <w:p w14:paraId="2813F20E" w14:textId="28096372" w:rsidR="00713806" w:rsidRPr="000E477B" w:rsidRDefault="00F23080" w:rsidP="000E477B">
            <w:pPr>
              <w:spacing w:line="220" w:lineRule="exact"/>
              <w:jc w:val="center"/>
              <w:rPr>
                <w:rFonts w:ascii="Calibri" w:hAnsi="Calibri"/>
                <w:sz w:val="18"/>
                <w:szCs w:val="18"/>
              </w:rPr>
            </w:pPr>
            <w:r w:rsidRPr="000E477B">
              <w:rPr>
                <w:rFonts w:ascii="Wingdings" w:hAnsi="Wingdings"/>
                <w:color w:val="FF0080"/>
                <w:sz w:val="20"/>
                <w:szCs w:val="20"/>
              </w:rPr>
              <w:t></w:t>
            </w:r>
          </w:p>
        </w:tc>
      </w:tr>
      <w:tr w:rsidR="00354FA7" w:rsidRPr="00CE2944" w14:paraId="5D9CB5C6" w14:textId="77777777" w:rsidTr="00887185">
        <w:tc>
          <w:tcPr>
            <w:tcW w:w="3535" w:type="dxa"/>
            <w:tcBorders>
              <w:right w:val="thinThickSmallGap" w:sz="24" w:space="0" w:color="auto"/>
            </w:tcBorders>
          </w:tcPr>
          <w:p w14:paraId="2E45A1F1" w14:textId="50D14BE9" w:rsidR="00354FA7" w:rsidRDefault="00354FA7" w:rsidP="000E477B">
            <w:pPr>
              <w:spacing w:line="220" w:lineRule="exact"/>
              <w:rPr>
                <w:rFonts w:ascii="Calibri" w:hAnsi="Calibri"/>
                <w:sz w:val="22"/>
                <w:szCs w:val="22"/>
              </w:rPr>
            </w:pPr>
          </w:p>
        </w:tc>
        <w:tc>
          <w:tcPr>
            <w:tcW w:w="3064" w:type="dxa"/>
            <w:tcBorders>
              <w:right w:val="single" w:sz="4" w:space="0" w:color="auto"/>
            </w:tcBorders>
          </w:tcPr>
          <w:p w14:paraId="40626A20" w14:textId="77777777" w:rsidR="00354FA7" w:rsidRPr="000E477B" w:rsidRDefault="00354FA7" w:rsidP="000E477B">
            <w:pPr>
              <w:spacing w:line="220" w:lineRule="exact"/>
              <w:jc w:val="center"/>
              <w:rPr>
                <w:rFonts w:ascii="Calibri" w:hAnsi="Calibri"/>
                <w:sz w:val="18"/>
                <w:szCs w:val="18"/>
              </w:rPr>
            </w:pPr>
          </w:p>
        </w:tc>
        <w:tc>
          <w:tcPr>
            <w:tcW w:w="4140" w:type="dxa"/>
          </w:tcPr>
          <w:p w14:paraId="1A8E23B8" w14:textId="42CF7831" w:rsidR="00354FA7" w:rsidRPr="000E477B" w:rsidRDefault="00354FA7" w:rsidP="000E477B">
            <w:pPr>
              <w:spacing w:line="220" w:lineRule="exact"/>
              <w:jc w:val="center"/>
              <w:rPr>
                <w:rFonts w:ascii="Calibri" w:hAnsi="Calibri"/>
                <w:sz w:val="18"/>
                <w:szCs w:val="18"/>
              </w:rPr>
            </w:pPr>
          </w:p>
        </w:tc>
        <w:tc>
          <w:tcPr>
            <w:tcW w:w="3580" w:type="dxa"/>
            <w:gridSpan w:val="2"/>
          </w:tcPr>
          <w:p w14:paraId="59FD185E" w14:textId="77777777" w:rsidR="00354FA7" w:rsidRPr="000E477B" w:rsidRDefault="00354FA7" w:rsidP="000E477B">
            <w:pPr>
              <w:spacing w:line="220" w:lineRule="exact"/>
              <w:jc w:val="center"/>
              <w:rPr>
                <w:rFonts w:ascii="Calibri" w:hAnsi="Calibri"/>
                <w:sz w:val="18"/>
                <w:szCs w:val="18"/>
              </w:rPr>
            </w:pPr>
          </w:p>
        </w:tc>
      </w:tr>
      <w:tr w:rsidR="00354FA7" w:rsidRPr="00CE2944" w14:paraId="3B7951BD" w14:textId="77777777" w:rsidTr="00B7022B">
        <w:trPr>
          <w:trHeight w:val="242"/>
        </w:trPr>
        <w:tc>
          <w:tcPr>
            <w:tcW w:w="3535" w:type="dxa"/>
            <w:tcBorders>
              <w:right w:val="thinThickSmallGap" w:sz="24" w:space="0" w:color="auto"/>
            </w:tcBorders>
          </w:tcPr>
          <w:p w14:paraId="71F81C5F" w14:textId="291DD39A" w:rsidR="00354FA7" w:rsidRDefault="000563EA" w:rsidP="000E477B">
            <w:pPr>
              <w:spacing w:line="220" w:lineRule="exact"/>
              <w:rPr>
                <w:rFonts w:ascii="Calibri" w:hAnsi="Calibri"/>
                <w:sz w:val="22"/>
                <w:szCs w:val="22"/>
              </w:rPr>
            </w:pPr>
            <w:proofErr w:type="spellStart"/>
            <w:r>
              <w:rPr>
                <w:rFonts w:ascii="Calibri" w:hAnsi="Calibri"/>
                <w:sz w:val="22"/>
                <w:szCs w:val="22"/>
              </w:rPr>
              <w:t>Phenmetrazine</w:t>
            </w:r>
            <w:proofErr w:type="spellEnd"/>
          </w:p>
        </w:tc>
        <w:tc>
          <w:tcPr>
            <w:tcW w:w="3064" w:type="dxa"/>
            <w:tcBorders>
              <w:right w:val="single" w:sz="4" w:space="0" w:color="auto"/>
            </w:tcBorders>
          </w:tcPr>
          <w:p w14:paraId="56655202" w14:textId="0B38DEEA" w:rsidR="00354FA7" w:rsidRPr="000E477B" w:rsidRDefault="00F23080" w:rsidP="000E477B">
            <w:pPr>
              <w:spacing w:line="220" w:lineRule="exact"/>
              <w:jc w:val="center"/>
              <w:rPr>
                <w:rFonts w:ascii="Calibri" w:hAnsi="Calibri"/>
                <w:sz w:val="18"/>
                <w:szCs w:val="18"/>
              </w:rPr>
            </w:pPr>
            <w:r w:rsidRPr="000E477B">
              <w:rPr>
                <w:rFonts w:ascii="Wingdings" w:hAnsi="Wingdings"/>
                <w:color w:val="FF0080"/>
                <w:sz w:val="20"/>
                <w:szCs w:val="20"/>
              </w:rPr>
              <w:t></w:t>
            </w:r>
          </w:p>
        </w:tc>
        <w:tc>
          <w:tcPr>
            <w:tcW w:w="4140" w:type="dxa"/>
          </w:tcPr>
          <w:p w14:paraId="08080D57" w14:textId="01EC80F4" w:rsidR="00354FA7" w:rsidRPr="000E477B" w:rsidRDefault="00A46401" w:rsidP="000E477B">
            <w:pPr>
              <w:spacing w:line="220" w:lineRule="exact"/>
              <w:jc w:val="center"/>
              <w:rPr>
                <w:rFonts w:ascii="Calibri" w:hAnsi="Calibri"/>
                <w:sz w:val="18"/>
                <w:szCs w:val="18"/>
              </w:rPr>
            </w:pPr>
            <w:r w:rsidRPr="000E477B">
              <w:rPr>
                <w:rFonts w:ascii="Wingdings" w:hAnsi="Wingdings"/>
                <w:color w:val="FCC00A"/>
                <w:sz w:val="20"/>
                <w:szCs w:val="20"/>
              </w:rPr>
              <w:t></w:t>
            </w:r>
          </w:p>
        </w:tc>
        <w:tc>
          <w:tcPr>
            <w:tcW w:w="3580" w:type="dxa"/>
            <w:gridSpan w:val="2"/>
          </w:tcPr>
          <w:p w14:paraId="37F48AB0" w14:textId="0009C9A1" w:rsidR="00354FA7" w:rsidRPr="000E477B" w:rsidRDefault="00F23080" w:rsidP="000E477B">
            <w:pPr>
              <w:spacing w:line="220" w:lineRule="exact"/>
              <w:jc w:val="center"/>
              <w:rPr>
                <w:rFonts w:ascii="Calibri" w:hAnsi="Calibri"/>
                <w:sz w:val="18"/>
                <w:szCs w:val="18"/>
              </w:rPr>
            </w:pPr>
            <w:r w:rsidRPr="000E477B">
              <w:rPr>
                <w:rFonts w:ascii="Wingdings" w:hAnsi="Wingdings"/>
                <w:color w:val="FF0080"/>
                <w:sz w:val="20"/>
                <w:szCs w:val="20"/>
              </w:rPr>
              <w:t></w:t>
            </w:r>
          </w:p>
        </w:tc>
      </w:tr>
      <w:tr w:rsidR="000563EA" w:rsidRPr="00CE2944" w14:paraId="4A0A6AF5" w14:textId="77777777" w:rsidTr="00F23080">
        <w:trPr>
          <w:trHeight w:val="206"/>
        </w:trPr>
        <w:tc>
          <w:tcPr>
            <w:tcW w:w="3535" w:type="dxa"/>
            <w:tcBorders>
              <w:right w:val="thinThickSmallGap" w:sz="24" w:space="0" w:color="auto"/>
            </w:tcBorders>
          </w:tcPr>
          <w:p w14:paraId="5A7D4C36" w14:textId="0CB627D4" w:rsidR="000563EA" w:rsidRDefault="000563EA" w:rsidP="000E477B">
            <w:pPr>
              <w:spacing w:line="220" w:lineRule="exact"/>
              <w:rPr>
                <w:rFonts w:ascii="Calibri" w:hAnsi="Calibri"/>
                <w:sz w:val="22"/>
                <w:szCs w:val="22"/>
              </w:rPr>
            </w:pPr>
            <w:r>
              <w:rPr>
                <w:rFonts w:ascii="Calibri" w:hAnsi="Calibri"/>
                <w:sz w:val="22"/>
                <w:szCs w:val="22"/>
              </w:rPr>
              <w:t>Methamphetamine</w:t>
            </w:r>
          </w:p>
        </w:tc>
        <w:tc>
          <w:tcPr>
            <w:tcW w:w="3064" w:type="dxa"/>
            <w:tcBorders>
              <w:right w:val="single" w:sz="4" w:space="0" w:color="auto"/>
            </w:tcBorders>
          </w:tcPr>
          <w:p w14:paraId="13E194E1" w14:textId="1FCC69F6" w:rsidR="000563EA" w:rsidRPr="000E477B" w:rsidRDefault="00F23080" w:rsidP="000E477B">
            <w:pPr>
              <w:spacing w:line="220" w:lineRule="exact"/>
              <w:jc w:val="center"/>
              <w:rPr>
                <w:rFonts w:ascii="Calibri" w:hAnsi="Calibri"/>
                <w:sz w:val="18"/>
                <w:szCs w:val="18"/>
              </w:rPr>
            </w:pPr>
            <w:r w:rsidRPr="000E477B">
              <w:rPr>
                <w:rFonts w:ascii="Wingdings" w:hAnsi="Wingdings"/>
                <w:color w:val="FF0080"/>
                <w:sz w:val="20"/>
                <w:szCs w:val="20"/>
              </w:rPr>
              <w:t></w:t>
            </w:r>
          </w:p>
        </w:tc>
        <w:tc>
          <w:tcPr>
            <w:tcW w:w="4140" w:type="dxa"/>
          </w:tcPr>
          <w:p w14:paraId="5019265F" w14:textId="69E91CF1" w:rsidR="000563EA" w:rsidRPr="000E477B" w:rsidRDefault="00A46401" w:rsidP="000E477B">
            <w:pPr>
              <w:spacing w:line="220" w:lineRule="exact"/>
              <w:jc w:val="center"/>
              <w:rPr>
                <w:rFonts w:ascii="Calibri" w:hAnsi="Calibri"/>
                <w:sz w:val="18"/>
                <w:szCs w:val="18"/>
              </w:rPr>
            </w:pPr>
            <w:r w:rsidRPr="000E477B">
              <w:rPr>
                <w:rFonts w:ascii="Wingdings" w:hAnsi="Wingdings"/>
                <w:color w:val="FCC00A"/>
                <w:sz w:val="20"/>
                <w:szCs w:val="20"/>
              </w:rPr>
              <w:t></w:t>
            </w:r>
          </w:p>
        </w:tc>
        <w:tc>
          <w:tcPr>
            <w:tcW w:w="3580" w:type="dxa"/>
            <w:gridSpan w:val="2"/>
          </w:tcPr>
          <w:p w14:paraId="6FE1F1E9" w14:textId="1288CF00" w:rsidR="000563EA" w:rsidRPr="000E477B" w:rsidRDefault="00F23080" w:rsidP="000E477B">
            <w:pPr>
              <w:spacing w:line="220" w:lineRule="exact"/>
              <w:jc w:val="center"/>
              <w:rPr>
                <w:rFonts w:ascii="Calibri" w:hAnsi="Calibri"/>
                <w:sz w:val="18"/>
                <w:szCs w:val="18"/>
              </w:rPr>
            </w:pPr>
            <w:r w:rsidRPr="000E477B">
              <w:rPr>
                <w:rFonts w:ascii="Wingdings" w:hAnsi="Wingdings"/>
                <w:color w:val="FF0080"/>
                <w:sz w:val="20"/>
                <w:szCs w:val="20"/>
              </w:rPr>
              <w:t></w:t>
            </w:r>
          </w:p>
        </w:tc>
      </w:tr>
    </w:tbl>
    <w:p w14:paraId="3674E399" w14:textId="7849FFB6" w:rsidR="005C1B31" w:rsidRPr="000E477B" w:rsidRDefault="00CE2944">
      <w:pPr>
        <w:rPr>
          <w:rFonts w:ascii="Calibri" w:hAnsi="Calibri"/>
          <w:sz w:val="20"/>
          <w:szCs w:val="20"/>
        </w:rPr>
      </w:pPr>
      <w:r w:rsidRPr="000E477B">
        <w:rPr>
          <w:rFonts w:ascii="Wingdings" w:hAnsi="Wingdings"/>
          <w:color w:val="20D71A"/>
          <w:sz w:val="20"/>
          <w:szCs w:val="20"/>
        </w:rPr>
        <w:t></w:t>
      </w:r>
      <w:r w:rsidRPr="000E477B">
        <w:rPr>
          <w:rFonts w:ascii="Calibri" w:hAnsi="Calibri"/>
          <w:color w:val="20D71A"/>
          <w:sz w:val="20"/>
          <w:szCs w:val="20"/>
        </w:rPr>
        <w:t xml:space="preserve"> </w:t>
      </w:r>
      <w:r w:rsidRPr="000E477B">
        <w:rPr>
          <w:rFonts w:ascii="Calibri" w:hAnsi="Calibri"/>
          <w:sz w:val="20"/>
          <w:szCs w:val="20"/>
        </w:rPr>
        <w:t xml:space="preserve">= No special precautions.  </w:t>
      </w:r>
      <w:r w:rsidRPr="000E477B">
        <w:rPr>
          <w:rFonts w:ascii="Calibri" w:hAnsi="Calibri"/>
          <w:color w:val="20D71A"/>
          <w:sz w:val="20"/>
          <w:szCs w:val="20"/>
        </w:rPr>
        <w:t xml:space="preserve"> </w:t>
      </w:r>
      <w:r w:rsidRPr="000E477B">
        <w:rPr>
          <w:rFonts w:ascii="Wingdings" w:hAnsi="Wingdings"/>
          <w:color w:val="FCC00A"/>
          <w:sz w:val="20"/>
          <w:szCs w:val="20"/>
        </w:rPr>
        <w:t></w:t>
      </w:r>
      <w:r w:rsidR="00520BD2">
        <w:rPr>
          <w:rFonts w:ascii="Calibri" w:hAnsi="Calibri"/>
          <w:sz w:val="20"/>
          <w:szCs w:val="20"/>
        </w:rPr>
        <w:t xml:space="preserve"> = Assess risk and take precautions as necessary</w:t>
      </w:r>
      <w:r w:rsidRPr="000E477B">
        <w:rPr>
          <w:rFonts w:ascii="Calibri" w:hAnsi="Calibri"/>
          <w:sz w:val="20"/>
          <w:szCs w:val="20"/>
        </w:rPr>
        <w:t>.</w:t>
      </w:r>
      <w:proofErr w:type="gramStart"/>
      <w:r w:rsidRPr="000E477B">
        <w:rPr>
          <w:rFonts w:ascii="Calibri" w:hAnsi="Calibri"/>
          <w:color w:val="FF0080"/>
          <w:sz w:val="20"/>
          <w:szCs w:val="20"/>
        </w:rPr>
        <w:t xml:space="preserve">  </w:t>
      </w:r>
      <w:r w:rsidRPr="000E477B">
        <w:rPr>
          <w:rFonts w:ascii="Wingdings" w:hAnsi="Wingdings"/>
          <w:color w:val="FF0080"/>
          <w:sz w:val="20"/>
          <w:szCs w:val="20"/>
        </w:rPr>
        <w:t></w:t>
      </w:r>
      <w:proofErr w:type="gramEnd"/>
      <w:r w:rsidR="00F122D7">
        <w:rPr>
          <w:rFonts w:ascii="Calibri" w:hAnsi="Calibri"/>
          <w:sz w:val="20"/>
          <w:szCs w:val="20"/>
        </w:rPr>
        <w:t xml:space="preserve"> = Take measures to reduce risk.</w:t>
      </w:r>
    </w:p>
    <w:p w14:paraId="3D4C3A60" w14:textId="77777777" w:rsidR="00B055D5" w:rsidRPr="00B055D5" w:rsidRDefault="00B055D5">
      <w:pPr>
        <w:rPr>
          <w:rFonts w:ascii="Calibri" w:hAnsi="Calibri"/>
          <w:sz w:val="18"/>
          <w:szCs w:val="18"/>
        </w:rPr>
      </w:pPr>
    </w:p>
    <w:p w14:paraId="7E07EFAF" w14:textId="77777777" w:rsidR="00A46401" w:rsidRDefault="00A46401">
      <w:pPr>
        <w:rPr>
          <w:rFonts w:ascii="Calibri" w:hAnsi="Calibri"/>
          <w:b/>
          <w:sz w:val="22"/>
          <w:szCs w:val="22"/>
        </w:rPr>
      </w:pPr>
    </w:p>
    <w:p w14:paraId="11830237" w14:textId="77777777" w:rsidR="00A46401" w:rsidRDefault="00A46401">
      <w:pPr>
        <w:rPr>
          <w:rFonts w:ascii="Calibri" w:hAnsi="Calibri"/>
          <w:b/>
          <w:sz w:val="22"/>
          <w:szCs w:val="22"/>
        </w:rPr>
      </w:pPr>
    </w:p>
    <w:p w14:paraId="69F8B259" w14:textId="77777777" w:rsidR="00A46401" w:rsidRDefault="00A46401">
      <w:pPr>
        <w:rPr>
          <w:rFonts w:ascii="Calibri" w:hAnsi="Calibri"/>
          <w:b/>
          <w:sz w:val="22"/>
          <w:szCs w:val="22"/>
        </w:rPr>
      </w:pPr>
    </w:p>
    <w:p w14:paraId="04DEED48" w14:textId="77777777" w:rsidR="00A46401" w:rsidRDefault="00A46401">
      <w:pPr>
        <w:rPr>
          <w:rFonts w:ascii="Calibri" w:hAnsi="Calibri"/>
          <w:b/>
          <w:sz w:val="22"/>
          <w:szCs w:val="22"/>
        </w:rPr>
      </w:pPr>
    </w:p>
    <w:p w14:paraId="77419AAD" w14:textId="77777777" w:rsidR="00A46401" w:rsidRDefault="00A46401">
      <w:pPr>
        <w:rPr>
          <w:rFonts w:ascii="Calibri" w:hAnsi="Calibri"/>
          <w:b/>
          <w:sz w:val="22"/>
          <w:szCs w:val="22"/>
        </w:rPr>
      </w:pPr>
    </w:p>
    <w:p w14:paraId="2AD7CF8B" w14:textId="77777777" w:rsidR="00A46401" w:rsidRDefault="00A46401">
      <w:pPr>
        <w:rPr>
          <w:rFonts w:ascii="Calibri" w:hAnsi="Calibri"/>
          <w:b/>
          <w:sz w:val="22"/>
          <w:szCs w:val="22"/>
        </w:rPr>
      </w:pPr>
    </w:p>
    <w:p w14:paraId="30684DE4" w14:textId="77777777" w:rsidR="00CE2944" w:rsidRDefault="00CE2944">
      <w:pPr>
        <w:rPr>
          <w:rFonts w:ascii="Calibri" w:hAnsi="Calibri"/>
          <w:sz w:val="22"/>
          <w:szCs w:val="22"/>
        </w:rPr>
      </w:pPr>
      <w:r w:rsidRPr="001C56B0">
        <w:rPr>
          <w:rFonts w:ascii="Calibri" w:hAnsi="Calibri"/>
          <w:b/>
          <w:sz w:val="22"/>
          <w:szCs w:val="22"/>
        </w:rPr>
        <w:t>Footnotes</w:t>
      </w:r>
      <w:r w:rsidRPr="00CE2944">
        <w:rPr>
          <w:rFonts w:ascii="Calibri" w:hAnsi="Calibri"/>
          <w:sz w:val="22"/>
          <w:szCs w:val="22"/>
        </w:rPr>
        <w:t>:</w:t>
      </w:r>
    </w:p>
    <w:p w14:paraId="72BCB1C9" w14:textId="77777777" w:rsidR="00B7022B" w:rsidRDefault="00B7022B">
      <w:pPr>
        <w:rPr>
          <w:rFonts w:ascii="Calibri" w:hAnsi="Calibri"/>
          <w:sz w:val="22"/>
          <w:szCs w:val="22"/>
        </w:rPr>
      </w:pPr>
    </w:p>
    <w:p w14:paraId="51D7B35A" w14:textId="77777777" w:rsidR="00B7022B" w:rsidRPr="00CE2944" w:rsidRDefault="00B7022B">
      <w:pPr>
        <w:rPr>
          <w:rFonts w:ascii="Calibri" w:hAnsi="Calibri"/>
          <w:sz w:val="22"/>
          <w:szCs w:val="22"/>
        </w:rPr>
        <w:sectPr w:rsidR="00B7022B" w:rsidRPr="00CE2944" w:rsidSect="005C1B31">
          <w:pgSz w:w="15840" w:h="12240" w:orient="landscape"/>
          <w:pgMar w:top="936" w:right="936" w:bottom="936" w:left="936" w:header="720" w:footer="720" w:gutter="0"/>
          <w:cols w:space="720"/>
          <w:docGrid w:linePitch="360"/>
        </w:sectPr>
      </w:pPr>
    </w:p>
    <w:p w14:paraId="783C4C6F" w14:textId="1C51172F" w:rsidR="00A46401" w:rsidRPr="00A46401" w:rsidRDefault="00A46401" w:rsidP="00A46401">
      <w:pPr>
        <w:pStyle w:val="ListParagraph"/>
        <w:numPr>
          <w:ilvl w:val="0"/>
          <w:numId w:val="2"/>
        </w:numPr>
        <w:rPr>
          <w:rFonts w:asciiTheme="majorHAnsi" w:eastAsia="Times New Roman" w:hAnsiTheme="majorHAnsi"/>
          <w:sz w:val="20"/>
          <w:szCs w:val="20"/>
        </w:rPr>
      </w:pPr>
      <w:r w:rsidRPr="00A46401">
        <w:rPr>
          <w:rStyle w:val="amacitation"/>
          <w:rFonts w:asciiTheme="majorHAnsi" w:eastAsia="Times New Roman" w:hAnsiTheme="majorHAnsi"/>
          <w:sz w:val="20"/>
          <w:szCs w:val="20"/>
          <w:bdr w:val="none" w:sz="0" w:space="0" w:color="auto" w:frame="1"/>
        </w:rPr>
        <w:t xml:space="preserve">O'Donnell JM, Shelton RC. </w:t>
      </w:r>
      <w:r w:rsidRPr="00A46401">
        <w:rPr>
          <w:rStyle w:val="copypaste"/>
          <w:rFonts w:asciiTheme="majorHAnsi" w:eastAsia="Times New Roman" w:hAnsiTheme="majorHAnsi"/>
          <w:sz w:val="20"/>
          <w:szCs w:val="20"/>
          <w:bdr w:val="none" w:sz="0" w:space="0" w:color="auto" w:frame="1"/>
        </w:rPr>
        <w:t xml:space="preserve">Chapter 15. Drug Therapy of Depression and Anxiety Disorders. </w:t>
      </w:r>
      <w:r w:rsidRPr="00A46401">
        <w:rPr>
          <w:rStyle w:val="editor"/>
          <w:rFonts w:asciiTheme="majorHAnsi" w:eastAsia="Times New Roman" w:hAnsiTheme="majorHAnsi"/>
          <w:sz w:val="20"/>
          <w:szCs w:val="20"/>
          <w:bdr w:val="none" w:sz="0" w:space="0" w:color="auto" w:frame="1"/>
        </w:rPr>
        <w:t xml:space="preserve">In: </w:t>
      </w:r>
      <w:proofErr w:type="spellStart"/>
      <w:r w:rsidRPr="00A46401">
        <w:rPr>
          <w:rStyle w:val="amacitation"/>
          <w:rFonts w:asciiTheme="majorHAnsi" w:eastAsia="Times New Roman" w:hAnsiTheme="majorHAnsi"/>
          <w:sz w:val="20"/>
          <w:szCs w:val="20"/>
          <w:bdr w:val="none" w:sz="0" w:space="0" w:color="auto" w:frame="1"/>
        </w:rPr>
        <w:t>Brunton</w:t>
      </w:r>
      <w:proofErr w:type="spellEnd"/>
      <w:r w:rsidRPr="00A46401">
        <w:rPr>
          <w:rStyle w:val="amacitation"/>
          <w:rFonts w:asciiTheme="majorHAnsi" w:eastAsia="Times New Roman" w:hAnsiTheme="majorHAnsi"/>
          <w:sz w:val="20"/>
          <w:szCs w:val="20"/>
          <w:bdr w:val="none" w:sz="0" w:space="0" w:color="auto" w:frame="1"/>
        </w:rPr>
        <w:t xml:space="preserve"> LL, </w:t>
      </w:r>
      <w:proofErr w:type="spellStart"/>
      <w:r w:rsidRPr="00A46401">
        <w:rPr>
          <w:rStyle w:val="amacitation"/>
          <w:rFonts w:asciiTheme="majorHAnsi" w:eastAsia="Times New Roman" w:hAnsiTheme="majorHAnsi"/>
          <w:sz w:val="20"/>
          <w:szCs w:val="20"/>
          <w:bdr w:val="none" w:sz="0" w:space="0" w:color="auto" w:frame="1"/>
        </w:rPr>
        <w:t>Chabner</w:t>
      </w:r>
      <w:proofErr w:type="spellEnd"/>
      <w:r w:rsidRPr="00A46401">
        <w:rPr>
          <w:rStyle w:val="amacitation"/>
          <w:rFonts w:asciiTheme="majorHAnsi" w:eastAsia="Times New Roman" w:hAnsiTheme="majorHAnsi"/>
          <w:sz w:val="20"/>
          <w:szCs w:val="20"/>
          <w:bdr w:val="none" w:sz="0" w:space="0" w:color="auto" w:frame="1"/>
        </w:rPr>
        <w:t xml:space="preserve"> BA, </w:t>
      </w:r>
      <w:proofErr w:type="spellStart"/>
      <w:r w:rsidRPr="00A46401">
        <w:rPr>
          <w:rStyle w:val="amacitation"/>
          <w:rFonts w:asciiTheme="majorHAnsi" w:eastAsia="Times New Roman" w:hAnsiTheme="majorHAnsi"/>
          <w:sz w:val="20"/>
          <w:szCs w:val="20"/>
          <w:bdr w:val="none" w:sz="0" w:space="0" w:color="auto" w:frame="1"/>
        </w:rPr>
        <w:t>Knollmann</w:t>
      </w:r>
      <w:proofErr w:type="spellEnd"/>
      <w:r w:rsidRPr="00A46401">
        <w:rPr>
          <w:rStyle w:val="amacitation"/>
          <w:rFonts w:asciiTheme="majorHAnsi" w:eastAsia="Times New Roman" w:hAnsiTheme="majorHAnsi"/>
          <w:sz w:val="20"/>
          <w:szCs w:val="20"/>
          <w:bdr w:val="none" w:sz="0" w:space="0" w:color="auto" w:frame="1"/>
        </w:rPr>
        <w:t xml:space="preserve"> BC. </w:t>
      </w:r>
      <w:r w:rsidRPr="00A46401">
        <w:rPr>
          <w:rStyle w:val="editor"/>
          <w:rFonts w:asciiTheme="majorHAnsi" w:eastAsia="Times New Roman" w:hAnsiTheme="majorHAnsi"/>
          <w:sz w:val="20"/>
          <w:szCs w:val="20"/>
          <w:bdr w:val="none" w:sz="0" w:space="0" w:color="auto" w:frame="1"/>
        </w:rPr>
        <w:t>eds.</w:t>
      </w:r>
      <w:r>
        <w:rPr>
          <w:rStyle w:val="copypaste"/>
          <w:rFonts w:asciiTheme="majorHAnsi" w:eastAsia="Times New Roman" w:hAnsiTheme="majorHAnsi"/>
          <w:sz w:val="20"/>
          <w:szCs w:val="20"/>
          <w:bdr w:val="none" w:sz="0" w:space="0" w:color="auto" w:frame="1"/>
        </w:rPr>
        <w:t xml:space="preserve"> </w:t>
      </w:r>
      <w:r w:rsidRPr="00A46401">
        <w:rPr>
          <w:rStyle w:val="Emphasis"/>
          <w:rFonts w:asciiTheme="majorHAnsi" w:eastAsia="Times New Roman" w:hAnsiTheme="majorHAnsi"/>
          <w:sz w:val="20"/>
          <w:szCs w:val="20"/>
          <w:bdr w:val="none" w:sz="0" w:space="0" w:color="auto" w:frame="1"/>
        </w:rPr>
        <w:t>Goodman &amp; Gilman's The Pharmacological Basis of Therapeutics, 12e</w:t>
      </w:r>
      <w:r w:rsidRPr="00A46401">
        <w:rPr>
          <w:rStyle w:val="copypaste"/>
          <w:rFonts w:asciiTheme="majorHAnsi" w:eastAsia="Times New Roman" w:hAnsiTheme="majorHAnsi"/>
          <w:i/>
          <w:iCs/>
          <w:sz w:val="20"/>
          <w:szCs w:val="20"/>
          <w:bdr w:val="none" w:sz="0" w:space="0" w:color="auto" w:frame="1"/>
        </w:rPr>
        <w:t xml:space="preserve">. </w:t>
      </w:r>
      <w:r w:rsidRPr="00A46401">
        <w:rPr>
          <w:rStyle w:val="copypaste"/>
          <w:rFonts w:asciiTheme="majorHAnsi" w:eastAsia="Times New Roman" w:hAnsiTheme="majorHAnsi"/>
          <w:sz w:val="20"/>
          <w:szCs w:val="20"/>
          <w:bdr w:val="none" w:sz="0" w:space="0" w:color="auto" w:frame="1"/>
        </w:rPr>
        <w:t xml:space="preserve">New York, NY: McGraw-Hill; 2011. </w:t>
      </w:r>
      <w:r w:rsidRPr="00A46401">
        <w:rPr>
          <w:rStyle w:val="urllink"/>
          <w:rFonts w:asciiTheme="majorHAnsi" w:eastAsia="Times New Roman" w:hAnsiTheme="majorHAnsi"/>
          <w:sz w:val="20"/>
          <w:szCs w:val="20"/>
          <w:bdr w:val="none" w:sz="0" w:space="0" w:color="auto" w:frame="1"/>
        </w:rPr>
        <w:t>http://accessmedicine.mhmedical.com/content.aspx?bookid=374&amp;Sectionid=41266221.</w:t>
      </w:r>
      <w:r w:rsidRPr="00A46401">
        <w:rPr>
          <w:rStyle w:val="copypaste"/>
          <w:rFonts w:asciiTheme="majorHAnsi" w:eastAsia="Times New Roman" w:hAnsiTheme="majorHAnsi"/>
          <w:sz w:val="20"/>
          <w:szCs w:val="20"/>
          <w:bdr w:val="none" w:sz="0" w:space="0" w:color="auto" w:frame="1"/>
        </w:rPr>
        <w:t xml:space="preserve"> Accessed September 01, 2016.</w:t>
      </w:r>
    </w:p>
    <w:p w14:paraId="27B061D5" w14:textId="77777777" w:rsidR="003D07CA" w:rsidRPr="003D07CA" w:rsidRDefault="00616C28" w:rsidP="00D9105F">
      <w:pPr>
        <w:pStyle w:val="ListParagraph"/>
        <w:numPr>
          <w:ilvl w:val="0"/>
          <w:numId w:val="2"/>
        </w:numPr>
        <w:spacing w:line="200" w:lineRule="exact"/>
        <w:rPr>
          <w:rFonts w:asciiTheme="majorHAnsi" w:eastAsia="Times New Roman" w:hAnsiTheme="majorHAnsi" w:cs="Times New Roman"/>
          <w:sz w:val="20"/>
          <w:szCs w:val="20"/>
        </w:rPr>
      </w:pPr>
      <w:proofErr w:type="spellStart"/>
      <w:r w:rsidRPr="003D07CA">
        <w:rPr>
          <w:rFonts w:asciiTheme="majorHAnsi" w:hAnsiTheme="majorHAnsi"/>
          <w:sz w:val="20"/>
          <w:szCs w:val="20"/>
        </w:rPr>
        <w:t>Selegiline</w:t>
      </w:r>
      <w:proofErr w:type="spellEnd"/>
      <w:r w:rsidRPr="003D07CA">
        <w:rPr>
          <w:rFonts w:asciiTheme="majorHAnsi" w:hAnsiTheme="majorHAnsi"/>
          <w:sz w:val="20"/>
          <w:szCs w:val="20"/>
        </w:rPr>
        <w:t xml:space="preserve"> reversibly inhibits primarily MAO-B at therapeutic doses, but at higher doses can inhibit MAO-A. </w:t>
      </w:r>
      <w:r w:rsidR="00E75FBF" w:rsidRPr="003D07CA">
        <w:rPr>
          <w:rFonts w:asciiTheme="majorHAnsi" w:hAnsiTheme="majorHAnsi"/>
          <w:sz w:val="20"/>
          <w:szCs w:val="20"/>
        </w:rPr>
        <w:t xml:space="preserve">Administration of concurrent CYP1A2 inhibitor may results in increase serum levels. </w:t>
      </w:r>
      <w:proofErr w:type="spellStart"/>
      <w:r w:rsidR="00E75FBF" w:rsidRPr="003D07CA">
        <w:rPr>
          <w:rFonts w:asciiTheme="majorHAnsi" w:hAnsiTheme="majorHAnsi"/>
          <w:sz w:val="20"/>
          <w:szCs w:val="20"/>
        </w:rPr>
        <w:t>Rasagiline</w:t>
      </w:r>
      <w:proofErr w:type="spellEnd"/>
      <w:r w:rsidR="00E75FBF" w:rsidRPr="003D07CA">
        <w:rPr>
          <w:rFonts w:asciiTheme="majorHAnsi" w:hAnsiTheme="majorHAnsi"/>
          <w:sz w:val="20"/>
          <w:szCs w:val="20"/>
        </w:rPr>
        <w:t xml:space="preserve"> AUC increased by 83% when ciprofloxacin was initiated in healthy volunteers (See </w:t>
      </w:r>
      <w:proofErr w:type="spellStart"/>
      <w:r w:rsidR="00E75FBF" w:rsidRPr="003D07CA">
        <w:rPr>
          <w:rFonts w:asciiTheme="majorHAnsi" w:hAnsiTheme="majorHAnsi"/>
          <w:sz w:val="20"/>
          <w:szCs w:val="20"/>
        </w:rPr>
        <w:t>Azilect</w:t>
      </w:r>
      <w:proofErr w:type="spellEnd"/>
      <w:r w:rsidR="00E75FBF" w:rsidRPr="003D07CA">
        <w:rPr>
          <w:rFonts w:asciiTheme="majorHAnsi" w:hAnsiTheme="majorHAnsi"/>
          <w:sz w:val="20"/>
          <w:szCs w:val="20"/>
        </w:rPr>
        <w:t xml:space="preserve"> product label).</w:t>
      </w:r>
    </w:p>
    <w:p w14:paraId="018E97AC" w14:textId="661C588B" w:rsidR="003D07CA" w:rsidRPr="003D07CA" w:rsidRDefault="003D07CA" w:rsidP="003D07CA">
      <w:pPr>
        <w:pStyle w:val="ListParagraph"/>
        <w:numPr>
          <w:ilvl w:val="0"/>
          <w:numId w:val="2"/>
        </w:numPr>
        <w:spacing w:line="200" w:lineRule="exact"/>
        <w:rPr>
          <w:rFonts w:asciiTheme="majorHAnsi" w:eastAsia="Times New Roman" w:hAnsiTheme="majorHAnsi" w:cs="Times New Roman"/>
          <w:sz w:val="20"/>
          <w:szCs w:val="20"/>
        </w:rPr>
      </w:pPr>
      <w:r w:rsidRPr="003D07CA">
        <w:rPr>
          <w:rFonts w:asciiTheme="majorHAnsi" w:hAnsiTheme="majorHAnsi"/>
          <w:sz w:val="20"/>
          <w:szCs w:val="20"/>
        </w:rPr>
        <w:t xml:space="preserve">Imipramine inhibits serotonin reuptake.  See product labeling. </w:t>
      </w:r>
      <w:proofErr w:type="spellStart"/>
      <w:r w:rsidRPr="003D07CA">
        <w:rPr>
          <w:rFonts w:asciiTheme="majorHAnsi" w:eastAsia="Times New Roman" w:hAnsiTheme="majorHAnsi"/>
          <w:sz w:val="20"/>
          <w:szCs w:val="20"/>
        </w:rPr>
        <w:t>Tofranil</w:t>
      </w:r>
      <w:proofErr w:type="spellEnd"/>
      <w:r w:rsidRPr="003D07CA">
        <w:rPr>
          <w:rFonts w:asciiTheme="majorHAnsi" w:eastAsia="Times New Roman" w:hAnsiTheme="majorHAnsi"/>
          <w:sz w:val="20"/>
          <w:szCs w:val="20"/>
        </w:rPr>
        <w:t>-PM(TM) oral ca</w:t>
      </w:r>
      <w:bookmarkStart w:id="0" w:name="_GoBack"/>
      <w:bookmarkEnd w:id="0"/>
      <w:r w:rsidRPr="003D07CA">
        <w:rPr>
          <w:rFonts w:asciiTheme="majorHAnsi" w:eastAsia="Times New Roman" w:hAnsiTheme="majorHAnsi"/>
          <w:sz w:val="20"/>
          <w:szCs w:val="20"/>
        </w:rPr>
        <w:t xml:space="preserve">psules, imipramine </w:t>
      </w:r>
      <w:proofErr w:type="spellStart"/>
      <w:r w:rsidRPr="003D07CA">
        <w:rPr>
          <w:rFonts w:asciiTheme="majorHAnsi" w:eastAsia="Times New Roman" w:hAnsiTheme="majorHAnsi"/>
          <w:sz w:val="20"/>
          <w:szCs w:val="20"/>
        </w:rPr>
        <w:t>pamoate</w:t>
      </w:r>
      <w:proofErr w:type="spellEnd"/>
      <w:r w:rsidRPr="003D07CA">
        <w:rPr>
          <w:rFonts w:asciiTheme="majorHAnsi" w:eastAsia="Times New Roman" w:hAnsiTheme="majorHAnsi"/>
          <w:sz w:val="20"/>
          <w:szCs w:val="20"/>
        </w:rPr>
        <w:t xml:space="preserve"> o</w:t>
      </w:r>
      <w:r>
        <w:rPr>
          <w:rFonts w:asciiTheme="majorHAnsi" w:eastAsia="Times New Roman" w:hAnsiTheme="majorHAnsi"/>
          <w:sz w:val="20"/>
          <w:szCs w:val="20"/>
        </w:rPr>
        <w:t>ral capsules. Mallinckrodt Inc</w:t>
      </w:r>
      <w:r w:rsidRPr="003D07CA">
        <w:rPr>
          <w:rFonts w:asciiTheme="majorHAnsi" w:eastAsia="Times New Roman" w:hAnsiTheme="majorHAnsi"/>
          <w:sz w:val="20"/>
          <w:szCs w:val="20"/>
        </w:rPr>
        <w:t>.</w:t>
      </w:r>
    </w:p>
    <w:p w14:paraId="7178695C" w14:textId="77777777" w:rsidR="003D07CA" w:rsidRDefault="003D07CA" w:rsidP="00616C28">
      <w:pPr>
        <w:rPr>
          <w:rFonts w:asciiTheme="majorHAnsi" w:hAnsiTheme="majorHAnsi"/>
          <w:sz w:val="20"/>
          <w:szCs w:val="20"/>
        </w:rPr>
      </w:pPr>
    </w:p>
    <w:p w14:paraId="336EDD64" w14:textId="77777777" w:rsidR="003D07CA" w:rsidRDefault="003D07CA" w:rsidP="00616C28">
      <w:pPr>
        <w:rPr>
          <w:rFonts w:asciiTheme="majorHAnsi" w:hAnsiTheme="majorHAnsi"/>
          <w:sz w:val="20"/>
          <w:szCs w:val="20"/>
        </w:rPr>
      </w:pPr>
    </w:p>
    <w:p w14:paraId="44B7831B" w14:textId="77777777" w:rsidR="003D07CA" w:rsidRDefault="00616C28" w:rsidP="00616C28">
      <w:pPr>
        <w:rPr>
          <w:rStyle w:val="normaltextrun"/>
          <w:rFonts w:asciiTheme="majorHAnsi" w:hAnsiTheme="majorHAnsi"/>
          <w:sz w:val="20"/>
          <w:szCs w:val="20"/>
        </w:rPr>
      </w:pPr>
      <w:r w:rsidRPr="00616C28">
        <w:rPr>
          <w:rFonts w:asciiTheme="majorHAnsi" w:hAnsiTheme="majorHAnsi"/>
          <w:sz w:val="20"/>
          <w:szCs w:val="20"/>
        </w:rPr>
        <w:t>Select references:</w:t>
      </w:r>
      <w:r w:rsidRPr="00616C28">
        <w:rPr>
          <w:rStyle w:val="normaltextrun"/>
          <w:rFonts w:asciiTheme="majorHAnsi" w:hAnsiTheme="majorHAnsi"/>
          <w:sz w:val="20"/>
          <w:szCs w:val="20"/>
        </w:rPr>
        <w:t xml:space="preserve"> </w:t>
      </w:r>
    </w:p>
    <w:p w14:paraId="2094ECA6" w14:textId="77777777" w:rsidR="003D07CA" w:rsidRDefault="003D07CA" w:rsidP="00616C28">
      <w:pPr>
        <w:rPr>
          <w:rStyle w:val="normaltextrun"/>
          <w:rFonts w:asciiTheme="majorHAnsi" w:hAnsiTheme="majorHAnsi"/>
          <w:sz w:val="20"/>
          <w:szCs w:val="20"/>
        </w:rPr>
      </w:pPr>
    </w:p>
    <w:p w14:paraId="3F301F9E" w14:textId="4F2D86B0" w:rsidR="003D07CA" w:rsidRDefault="00616C28" w:rsidP="00616C28">
      <w:pPr>
        <w:rPr>
          <w:rStyle w:val="normaltextrun"/>
          <w:rFonts w:asciiTheme="majorHAnsi" w:hAnsiTheme="majorHAnsi"/>
          <w:sz w:val="20"/>
          <w:szCs w:val="20"/>
        </w:rPr>
      </w:pPr>
      <w:r w:rsidRPr="00616C28">
        <w:rPr>
          <w:rStyle w:val="normaltextrun"/>
          <w:rFonts w:asciiTheme="majorHAnsi" w:hAnsiTheme="majorHAnsi"/>
          <w:sz w:val="20"/>
          <w:szCs w:val="20"/>
        </w:rPr>
        <w:t>Gillman PK. A Review of Serotonin Toxicity Data: Implications for the Mechanisms of</w:t>
      </w:r>
      <w:r w:rsidRPr="00616C28">
        <w:rPr>
          <w:rStyle w:val="apple-converted-space"/>
          <w:rFonts w:asciiTheme="majorHAnsi" w:hAnsiTheme="majorHAnsi"/>
          <w:sz w:val="20"/>
          <w:szCs w:val="20"/>
        </w:rPr>
        <w:t> </w:t>
      </w:r>
      <w:r w:rsidRPr="00616C28">
        <w:rPr>
          <w:rStyle w:val="normaltextrun"/>
          <w:rFonts w:asciiTheme="majorHAnsi" w:hAnsiTheme="majorHAnsi"/>
          <w:sz w:val="20"/>
          <w:szCs w:val="20"/>
        </w:rPr>
        <w:t>Antidepressant</w:t>
      </w:r>
      <w:r w:rsidRPr="00616C28">
        <w:rPr>
          <w:rStyle w:val="apple-converted-space"/>
          <w:rFonts w:asciiTheme="majorHAnsi" w:hAnsiTheme="majorHAnsi"/>
          <w:sz w:val="20"/>
          <w:szCs w:val="20"/>
        </w:rPr>
        <w:t> </w:t>
      </w:r>
      <w:r w:rsidRPr="00616C28">
        <w:rPr>
          <w:rStyle w:val="normaltextrun"/>
          <w:rFonts w:asciiTheme="majorHAnsi" w:hAnsiTheme="majorHAnsi"/>
          <w:sz w:val="20"/>
          <w:szCs w:val="20"/>
        </w:rPr>
        <w:t>Drug Action. Biologica</w:t>
      </w:r>
      <w:r w:rsidR="003D07CA">
        <w:rPr>
          <w:rStyle w:val="normaltextrun"/>
          <w:rFonts w:asciiTheme="majorHAnsi" w:hAnsiTheme="majorHAnsi"/>
          <w:sz w:val="20"/>
          <w:szCs w:val="20"/>
        </w:rPr>
        <w:t>l Psychiatry 2006; 59:1046-1051.</w:t>
      </w:r>
      <w:r w:rsidRPr="00616C28">
        <w:rPr>
          <w:rStyle w:val="normaltextrun"/>
          <w:rFonts w:asciiTheme="majorHAnsi" w:hAnsiTheme="majorHAnsi"/>
          <w:sz w:val="20"/>
          <w:szCs w:val="20"/>
        </w:rPr>
        <w:t xml:space="preserve"> </w:t>
      </w:r>
    </w:p>
    <w:p w14:paraId="275B3FFB" w14:textId="77777777" w:rsidR="003D07CA" w:rsidRDefault="003D07CA" w:rsidP="00616C28">
      <w:pPr>
        <w:rPr>
          <w:rStyle w:val="normaltextrun"/>
          <w:rFonts w:asciiTheme="majorHAnsi" w:hAnsiTheme="majorHAnsi"/>
          <w:sz w:val="20"/>
          <w:szCs w:val="20"/>
        </w:rPr>
      </w:pPr>
    </w:p>
    <w:p w14:paraId="3DCD1A05" w14:textId="77777777" w:rsidR="003D07CA" w:rsidRDefault="00616C28" w:rsidP="00616C28">
      <w:pPr>
        <w:rPr>
          <w:rStyle w:val="normaltextrun"/>
          <w:rFonts w:asciiTheme="majorHAnsi" w:hAnsiTheme="majorHAnsi"/>
          <w:sz w:val="20"/>
          <w:szCs w:val="20"/>
        </w:rPr>
      </w:pPr>
      <w:proofErr w:type="spellStart"/>
      <w:r w:rsidRPr="00616C28">
        <w:rPr>
          <w:rStyle w:val="normaltextrun"/>
          <w:rFonts w:asciiTheme="majorHAnsi" w:hAnsiTheme="majorHAnsi"/>
          <w:sz w:val="20"/>
          <w:szCs w:val="20"/>
        </w:rPr>
        <w:t>Vuori</w:t>
      </w:r>
      <w:proofErr w:type="spellEnd"/>
      <w:r w:rsidRPr="00616C28">
        <w:rPr>
          <w:rStyle w:val="normaltextrun"/>
          <w:rFonts w:asciiTheme="majorHAnsi" w:hAnsiTheme="majorHAnsi"/>
          <w:sz w:val="20"/>
          <w:szCs w:val="20"/>
        </w:rPr>
        <w:t xml:space="preserve"> E, Henry JA, </w:t>
      </w:r>
      <w:proofErr w:type="spellStart"/>
      <w:r w:rsidRPr="00616C28">
        <w:rPr>
          <w:rStyle w:val="normaltextrun"/>
          <w:rFonts w:asciiTheme="majorHAnsi" w:hAnsiTheme="majorHAnsi"/>
          <w:sz w:val="20"/>
          <w:szCs w:val="20"/>
        </w:rPr>
        <w:t>Ojanpera</w:t>
      </w:r>
      <w:proofErr w:type="spellEnd"/>
      <w:r w:rsidRPr="00616C28">
        <w:rPr>
          <w:rStyle w:val="normaltextrun"/>
          <w:rFonts w:asciiTheme="majorHAnsi" w:hAnsiTheme="majorHAnsi"/>
          <w:sz w:val="20"/>
          <w:szCs w:val="20"/>
        </w:rPr>
        <w:t xml:space="preserve"> I, et al. Death following ingestion of MDMA (</w:t>
      </w:r>
      <w:proofErr w:type="spellStart"/>
      <w:r w:rsidRPr="00616C28">
        <w:rPr>
          <w:rStyle w:val="normaltextrun"/>
          <w:rFonts w:asciiTheme="majorHAnsi" w:hAnsiTheme="majorHAnsi"/>
          <w:sz w:val="20"/>
          <w:szCs w:val="20"/>
        </w:rPr>
        <w:t>ecstacy</w:t>
      </w:r>
      <w:proofErr w:type="spellEnd"/>
      <w:r w:rsidRPr="00616C28">
        <w:rPr>
          <w:rStyle w:val="normaltextrun"/>
          <w:rFonts w:asciiTheme="majorHAnsi" w:hAnsiTheme="majorHAnsi"/>
          <w:sz w:val="20"/>
          <w:szCs w:val="20"/>
        </w:rPr>
        <w:t xml:space="preserve">) and </w:t>
      </w:r>
      <w:proofErr w:type="spellStart"/>
      <w:r w:rsidRPr="00616C28">
        <w:rPr>
          <w:rStyle w:val="normaltextrun"/>
          <w:rFonts w:asciiTheme="majorHAnsi" w:hAnsiTheme="majorHAnsi"/>
          <w:sz w:val="20"/>
          <w:szCs w:val="20"/>
        </w:rPr>
        <w:t>moclobemide</w:t>
      </w:r>
      <w:proofErr w:type="spellEnd"/>
      <w:r w:rsidRPr="00616C28">
        <w:rPr>
          <w:rStyle w:val="normaltextrun"/>
          <w:rFonts w:asciiTheme="majorHAnsi" w:hAnsiTheme="majorHAnsi"/>
          <w:sz w:val="20"/>
          <w:szCs w:val="20"/>
        </w:rPr>
        <w:t xml:space="preserve">. </w:t>
      </w:r>
      <w:r w:rsidR="003D07CA">
        <w:rPr>
          <w:rStyle w:val="normaltextrun"/>
          <w:rFonts w:asciiTheme="majorHAnsi" w:hAnsiTheme="majorHAnsi"/>
          <w:sz w:val="20"/>
          <w:szCs w:val="20"/>
        </w:rPr>
        <w:t>Addiction 2003; 98(3):365-368.</w:t>
      </w:r>
    </w:p>
    <w:p w14:paraId="48AF643E" w14:textId="77777777" w:rsidR="003D07CA" w:rsidRDefault="003D07CA" w:rsidP="00616C28">
      <w:pPr>
        <w:rPr>
          <w:rStyle w:val="normaltextrun"/>
          <w:rFonts w:asciiTheme="majorHAnsi" w:hAnsiTheme="majorHAnsi"/>
          <w:sz w:val="20"/>
          <w:szCs w:val="20"/>
        </w:rPr>
      </w:pPr>
    </w:p>
    <w:p w14:paraId="6B42945F" w14:textId="006BF555" w:rsidR="00616C28" w:rsidRPr="003D07CA" w:rsidRDefault="00616C28" w:rsidP="00616C28">
      <w:pPr>
        <w:rPr>
          <w:rFonts w:asciiTheme="majorHAnsi" w:eastAsia="Times New Roman" w:hAnsiTheme="majorHAnsi"/>
          <w:sz w:val="20"/>
          <w:szCs w:val="20"/>
        </w:rPr>
      </w:pPr>
      <w:r>
        <w:rPr>
          <w:rStyle w:val="normaltextrun"/>
          <w:rFonts w:asciiTheme="majorHAnsi" w:hAnsiTheme="majorHAnsi"/>
          <w:sz w:val="20"/>
          <w:szCs w:val="20"/>
        </w:rPr>
        <w:t xml:space="preserve"> </w:t>
      </w:r>
      <w:proofErr w:type="spellStart"/>
      <w:r w:rsidRPr="003D07CA">
        <w:rPr>
          <w:rFonts w:asciiTheme="majorHAnsi" w:eastAsia="Times New Roman" w:hAnsiTheme="majorHAnsi"/>
          <w:sz w:val="20"/>
          <w:szCs w:val="20"/>
        </w:rPr>
        <w:t>Krisko</w:t>
      </w:r>
      <w:proofErr w:type="spellEnd"/>
      <w:r w:rsidRPr="003D07CA">
        <w:rPr>
          <w:rFonts w:asciiTheme="majorHAnsi" w:eastAsia="Times New Roman" w:hAnsiTheme="majorHAnsi"/>
          <w:sz w:val="20"/>
          <w:szCs w:val="20"/>
        </w:rPr>
        <w:t xml:space="preserve"> I, Lewis E &amp; Johnson JE: Severe hyperpyrexia due to tranylcypromine-amphetamine toxicity. Ann Intern Med 1969; 70:559-564.</w:t>
      </w:r>
    </w:p>
    <w:p w14:paraId="67CD2213" w14:textId="37165558" w:rsidR="00616C28" w:rsidRDefault="00616C28" w:rsidP="00616C28">
      <w:pPr>
        <w:spacing w:line="200" w:lineRule="exact"/>
        <w:rPr>
          <w:rStyle w:val="normaltextrun"/>
          <w:rFonts w:asciiTheme="majorHAnsi" w:hAnsiTheme="majorHAnsi"/>
          <w:sz w:val="20"/>
          <w:szCs w:val="20"/>
        </w:rPr>
      </w:pPr>
    </w:p>
    <w:p w14:paraId="4181449F" w14:textId="77777777" w:rsidR="00616C28" w:rsidRPr="00616C28" w:rsidRDefault="00616C28" w:rsidP="00616C28">
      <w:pPr>
        <w:spacing w:line="200" w:lineRule="exact"/>
        <w:rPr>
          <w:rStyle w:val="normaltextrun"/>
          <w:rFonts w:asciiTheme="majorHAnsi" w:hAnsiTheme="majorHAnsi"/>
          <w:sz w:val="20"/>
          <w:szCs w:val="20"/>
        </w:rPr>
      </w:pPr>
    </w:p>
    <w:p w14:paraId="505E73C2" w14:textId="528BC825" w:rsidR="00616C28" w:rsidRPr="00616C28" w:rsidRDefault="00616C28" w:rsidP="00616C28">
      <w:pPr>
        <w:spacing w:line="200" w:lineRule="exact"/>
        <w:ind w:left="720"/>
        <w:rPr>
          <w:rFonts w:asciiTheme="majorHAnsi" w:hAnsiTheme="majorHAnsi"/>
          <w:sz w:val="20"/>
          <w:szCs w:val="20"/>
        </w:rPr>
      </w:pPr>
    </w:p>
    <w:sectPr w:rsidR="00616C28" w:rsidRPr="00616C28" w:rsidSect="00B055D5">
      <w:type w:val="continuous"/>
      <w:pgSz w:w="15840" w:h="12240" w:orient="landscape"/>
      <w:pgMar w:top="936" w:right="936" w:bottom="936" w:left="936" w:header="720" w:footer="720" w:gutter="0"/>
      <w:cols w:num="2"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803AB"/>
    <w:multiLevelType w:val="hybridMultilevel"/>
    <w:tmpl w:val="95B6F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D76258"/>
    <w:multiLevelType w:val="hybridMultilevel"/>
    <w:tmpl w:val="2F16DEAC"/>
    <w:lvl w:ilvl="0" w:tplc="76DC3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31"/>
    <w:rsid w:val="000563EA"/>
    <w:rsid w:val="000876FA"/>
    <w:rsid w:val="000C52AE"/>
    <w:rsid w:val="000D70C1"/>
    <w:rsid w:val="000E477B"/>
    <w:rsid w:val="000F1CF3"/>
    <w:rsid w:val="001024F6"/>
    <w:rsid w:val="001323ED"/>
    <w:rsid w:val="00144AC9"/>
    <w:rsid w:val="001C56B0"/>
    <w:rsid w:val="001E5452"/>
    <w:rsid w:val="00256299"/>
    <w:rsid w:val="002A1FFE"/>
    <w:rsid w:val="002A3E99"/>
    <w:rsid w:val="0031263D"/>
    <w:rsid w:val="003150B5"/>
    <w:rsid w:val="0032668B"/>
    <w:rsid w:val="00335147"/>
    <w:rsid w:val="0034054F"/>
    <w:rsid w:val="00354FA7"/>
    <w:rsid w:val="003D07CA"/>
    <w:rsid w:val="004229FD"/>
    <w:rsid w:val="00452CEE"/>
    <w:rsid w:val="00510A05"/>
    <w:rsid w:val="00520BD2"/>
    <w:rsid w:val="00520E84"/>
    <w:rsid w:val="00537C6C"/>
    <w:rsid w:val="00593A54"/>
    <w:rsid w:val="005B0BC5"/>
    <w:rsid w:val="005C1B31"/>
    <w:rsid w:val="00616C28"/>
    <w:rsid w:val="006A3E8C"/>
    <w:rsid w:val="006D00F9"/>
    <w:rsid w:val="00713806"/>
    <w:rsid w:val="00714121"/>
    <w:rsid w:val="007B6893"/>
    <w:rsid w:val="008100F9"/>
    <w:rsid w:val="00827B5B"/>
    <w:rsid w:val="008A4EA9"/>
    <w:rsid w:val="00902E44"/>
    <w:rsid w:val="0094266F"/>
    <w:rsid w:val="00953090"/>
    <w:rsid w:val="00A217AF"/>
    <w:rsid w:val="00A46401"/>
    <w:rsid w:val="00A87FFC"/>
    <w:rsid w:val="00AB1ADE"/>
    <w:rsid w:val="00AC749D"/>
    <w:rsid w:val="00B055D5"/>
    <w:rsid w:val="00B322BF"/>
    <w:rsid w:val="00B7022B"/>
    <w:rsid w:val="00B7420E"/>
    <w:rsid w:val="00BE6DD8"/>
    <w:rsid w:val="00BF13F6"/>
    <w:rsid w:val="00C84DAB"/>
    <w:rsid w:val="00CC093F"/>
    <w:rsid w:val="00CC5826"/>
    <w:rsid w:val="00CE2944"/>
    <w:rsid w:val="00D61634"/>
    <w:rsid w:val="00D72804"/>
    <w:rsid w:val="00D87FDC"/>
    <w:rsid w:val="00DD0864"/>
    <w:rsid w:val="00DE3169"/>
    <w:rsid w:val="00E12CB6"/>
    <w:rsid w:val="00E32196"/>
    <w:rsid w:val="00E60020"/>
    <w:rsid w:val="00E66C80"/>
    <w:rsid w:val="00E75FBF"/>
    <w:rsid w:val="00E776CC"/>
    <w:rsid w:val="00E832FB"/>
    <w:rsid w:val="00E9363E"/>
    <w:rsid w:val="00EE53FB"/>
    <w:rsid w:val="00EE77F2"/>
    <w:rsid w:val="00F122D7"/>
    <w:rsid w:val="00F23080"/>
    <w:rsid w:val="00F27321"/>
    <w:rsid w:val="00F5643C"/>
    <w:rsid w:val="00FD5C55"/>
    <w:rsid w:val="00FF3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4A2C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EastAsia" w:hAnsi="Verdan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40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9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A6"/>
    <w:rsid w:val="001E5452"/>
    <w:rPr>
      <w:color w:val="262424"/>
      <w:sz w:val="11"/>
      <w:szCs w:val="11"/>
    </w:rPr>
  </w:style>
  <w:style w:type="paragraph" w:styleId="ListParagraph">
    <w:name w:val="List Paragraph"/>
    <w:basedOn w:val="Normal"/>
    <w:uiPriority w:val="34"/>
    <w:qFormat/>
    <w:rsid w:val="008A4EA9"/>
    <w:pPr>
      <w:ind w:left="720"/>
      <w:contextualSpacing/>
    </w:pPr>
    <w:rPr>
      <w:rFonts w:ascii="Verdana" w:hAnsi="Verdana" w:cstheme="minorBidi"/>
    </w:rPr>
  </w:style>
  <w:style w:type="character" w:customStyle="1" w:styleId="normaltextrun">
    <w:name w:val="normaltextrun"/>
    <w:basedOn w:val="DefaultParagraphFont"/>
    <w:rsid w:val="00B7022B"/>
  </w:style>
  <w:style w:type="character" w:customStyle="1" w:styleId="apple-converted-space">
    <w:name w:val="apple-converted-space"/>
    <w:basedOn w:val="DefaultParagraphFont"/>
    <w:rsid w:val="00B7022B"/>
  </w:style>
  <w:style w:type="character" w:customStyle="1" w:styleId="copypaste">
    <w:name w:val="copypaste"/>
    <w:basedOn w:val="DefaultParagraphFont"/>
    <w:rsid w:val="00A46401"/>
  </w:style>
  <w:style w:type="character" w:customStyle="1" w:styleId="amacitation">
    <w:name w:val="amacitation"/>
    <w:basedOn w:val="DefaultParagraphFont"/>
    <w:rsid w:val="00A46401"/>
  </w:style>
  <w:style w:type="character" w:customStyle="1" w:styleId="editor">
    <w:name w:val="editor"/>
    <w:basedOn w:val="DefaultParagraphFont"/>
    <w:rsid w:val="00A46401"/>
  </w:style>
  <w:style w:type="character" w:styleId="Emphasis">
    <w:name w:val="Emphasis"/>
    <w:basedOn w:val="DefaultParagraphFont"/>
    <w:uiPriority w:val="20"/>
    <w:qFormat/>
    <w:rsid w:val="00A46401"/>
    <w:rPr>
      <w:i/>
      <w:iCs/>
    </w:rPr>
  </w:style>
  <w:style w:type="character" w:customStyle="1" w:styleId="urllink">
    <w:name w:val="urllink"/>
    <w:basedOn w:val="DefaultParagraphFont"/>
    <w:rsid w:val="00A46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2817">
      <w:bodyDiv w:val="1"/>
      <w:marLeft w:val="0"/>
      <w:marRight w:val="0"/>
      <w:marTop w:val="0"/>
      <w:marBottom w:val="0"/>
      <w:divBdr>
        <w:top w:val="none" w:sz="0" w:space="0" w:color="auto"/>
        <w:left w:val="none" w:sz="0" w:space="0" w:color="auto"/>
        <w:bottom w:val="none" w:sz="0" w:space="0" w:color="auto"/>
        <w:right w:val="none" w:sz="0" w:space="0" w:color="auto"/>
      </w:divBdr>
    </w:div>
    <w:div w:id="455149308">
      <w:bodyDiv w:val="1"/>
      <w:marLeft w:val="0"/>
      <w:marRight w:val="0"/>
      <w:marTop w:val="0"/>
      <w:marBottom w:val="0"/>
      <w:divBdr>
        <w:top w:val="none" w:sz="0" w:space="0" w:color="auto"/>
        <w:left w:val="none" w:sz="0" w:space="0" w:color="auto"/>
        <w:bottom w:val="none" w:sz="0" w:space="0" w:color="auto"/>
        <w:right w:val="none" w:sz="0" w:space="0" w:color="auto"/>
      </w:divBdr>
    </w:div>
    <w:div w:id="1411001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542</Words>
  <Characters>3095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Hansten</dc:creator>
  <cp:keywords/>
  <dc:description/>
  <cp:lastModifiedBy>Dan Malone</cp:lastModifiedBy>
  <cp:revision>8</cp:revision>
  <dcterms:created xsi:type="dcterms:W3CDTF">2016-08-31T04:59:00Z</dcterms:created>
  <dcterms:modified xsi:type="dcterms:W3CDTF">2016-09-01T20:46:00Z</dcterms:modified>
</cp:coreProperties>
</file>