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5EBF5FF4" w:rsidR="00BF13F6" w:rsidRPr="00CE2944" w:rsidRDefault="003E2D87" w:rsidP="005C1B31">
      <w:pPr>
        <w:jc w:val="center"/>
        <w:rPr>
          <w:rFonts w:ascii="Calibri" w:hAnsi="Calibri"/>
          <w:b/>
          <w:sz w:val="28"/>
          <w:szCs w:val="28"/>
        </w:rPr>
      </w:pPr>
      <w:r>
        <w:rPr>
          <w:rFonts w:ascii="Calibri" w:hAnsi="Calibri"/>
          <w:b/>
          <w:sz w:val="28"/>
          <w:szCs w:val="28"/>
        </w:rPr>
        <w:t>BCR-ABL Tyrosine Kinase Inhibitors</w:t>
      </w:r>
      <w:r w:rsidR="00BE79B8">
        <w:rPr>
          <w:rFonts w:ascii="Calibri" w:hAnsi="Calibri"/>
          <w:b/>
          <w:sz w:val="28"/>
          <w:szCs w:val="28"/>
        </w:rPr>
        <w:t xml:space="preserve"> (TKI)</w:t>
      </w:r>
      <w:r w:rsidR="005C1B31" w:rsidRPr="00CE2944">
        <w:rPr>
          <w:rFonts w:ascii="Calibri" w:hAnsi="Calibri"/>
          <w:b/>
          <w:sz w:val="28"/>
          <w:szCs w:val="28"/>
        </w:rPr>
        <w:t xml:space="preserve"> + </w:t>
      </w:r>
      <w:r>
        <w:rPr>
          <w:rFonts w:ascii="Calibri" w:hAnsi="Calibri"/>
          <w:b/>
          <w:sz w:val="28"/>
          <w:szCs w:val="28"/>
        </w:rPr>
        <w:t>P</w:t>
      </w:r>
      <w:r w:rsidR="00FF29B1">
        <w:rPr>
          <w:rFonts w:ascii="Calibri" w:hAnsi="Calibri"/>
          <w:b/>
          <w:sz w:val="28"/>
          <w:szCs w:val="28"/>
        </w:rPr>
        <w:t>roton Pump Inhibitors (PPI)</w:t>
      </w:r>
      <w:r w:rsidR="00672F87">
        <w:rPr>
          <w:rFonts w:ascii="Calibri" w:hAnsi="Calibri"/>
          <w:b/>
          <w:sz w:val="28"/>
          <w:szCs w:val="28"/>
        </w:rPr>
        <w:t xml:space="preserve"> (</w:t>
      </w:r>
      <w:r w:rsidR="00335053">
        <w:rPr>
          <w:rFonts w:ascii="Calibri" w:hAnsi="Calibri"/>
          <w:b/>
          <w:sz w:val="28"/>
          <w:szCs w:val="28"/>
        </w:rPr>
        <w:t>Final</w:t>
      </w:r>
      <w:bookmarkStart w:id="0" w:name="_GoBack"/>
      <w:bookmarkEnd w:id="0"/>
      <w:r w:rsidR="00CE2944" w:rsidRPr="00CE2944">
        <w:rPr>
          <w:rFonts w:ascii="Calibri" w:hAnsi="Calibri"/>
          <w:b/>
          <w:sz w:val="28"/>
          <w:szCs w:val="28"/>
        </w:rPr>
        <w:t>)</w:t>
      </w:r>
    </w:p>
    <w:p w14:paraId="6E88374A" w14:textId="77777777" w:rsidR="005C1B31" w:rsidRPr="001323ED" w:rsidRDefault="005C1B31">
      <w:pPr>
        <w:rPr>
          <w:rFonts w:ascii="Calibri" w:hAnsi="Calibri"/>
          <w:sz w:val="12"/>
        </w:rPr>
      </w:pPr>
    </w:p>
    <w:p w14:paraId="153A3823" w14:textId="534F8600" w:rsidR="003E37D5" w:rsidRPr="001323ED" w:rsidRDefault="003E37D5" w:rsidP="001323ED">
      <w:pPr>
        <w:spacing w:line="220" w:lineRule="exact"/>
        <w:rPr>
          <w:rFonts w:ascii="Calibri" w:hAnsi="Calibri"/>
          <w:sz w:val="22"/>
          <w:szCs w:val="22"/>
        </w:rPr>
      </w:pPr>
      <w:r>
        <w:rPr>
          <w:rFonts w:ascii="Calibri" w:hAnsi="Calibri"/>
          <w:sz w:val="22"/>
          <w:szCs w:val="22"/>
        </w:rPr>
        <w:t>BCR-ABL Tyrosine Kinase inhibitors bosutinib, dasatinib, imatinib, nilotinib, and ponatinib</w:t>
      </w:r>
      <w:r w:rsidR="00BF7EC8">
        <w:rPr>
          <w:rFonts w:ascii="Calibri" w:hAnsi="Calibri"/>
          <w:sz w:val="22"/>
          <w:szCs w:val="22"/>
        </w:rPr>
        <w:t xml:space="preserve"> </w:t>
      </w:r>
      <w:r w:rsidR="004C4ADD">
        <w:rPr>
          <w:rFonts w:ascii="Calibri" w:hAnsi="Calibri"/>
          <w:sz w:val="22"/>
          <w:szCs w:val="22"/>
        </w:rPr>
        <w:t>are indica</w:t>
      </w:r>
      <w:r w:rsidR="00216700">
        <w:rPr>
          <w:rFonts w:ascii="Calibri" w:hAnsi="Calibri"/>
          <w:sz w:val="22"/>
          <w:szCs w:val="22"/>
        </w:rPr>
        <w:t>ted for Philadelphia chromosome-</w:t>
      </w:r>
      <w:r w:rsidR="004C4ADD">
        <w:rPr>
          <w:rFonts w:ascii="Calibri" w:hAnsi="Calibri"/>
          <w:sz w:val="22"/>
          <w:szCs w:val="22"/>
        </w:rPr>
        <w:t xml:space="preserve">positive chronic myeloid leukemia.  </w:t>
      </w:r>
      <w:r w:rsidR="008D7E82">
        <w:rPr>
          <w:rFonts w:ascii="Calibri" w:hAnsi="Calibri"/>
          <w:sz w:val="22"/>
          <w:szCs w:val="22"/>
        </w:rPr>
        <w:t>Pon</w:t>
      </w:r>
      <w:r w:rsidR="00827439">
        <w:rPr>
          <w:rFonts w:ascii="Calibri" w:hAnsi="Calibri"/>
          <w:sz w:val="22"/>
          <w:szCs w:val="22"/>
        </w:rPr>
        <w:t>atinib is only approved in T315I</w:t>
      </w:r>
      <w:r w:rsidR="008D7E82">
        <w:rPr>
          <w:rFonts w:ascii="Calibri" w:hAnsi="Calibri"/>
          <w:sz w:val="22"/>
          <w:szCs w:val="22"/>
        </w:rPr>
        <w:t xml:space="preserve">-positive patients. </w:t>
      </w:r>
      <w:r w:rsidR="004C4ADD">
        <w:rPr>
          <w:rFonts w:ascii="Calibri" w:hAnsi="Calibri"/>
          <w:sz w:val="22"/>
          <w:szCs w:val="22"/>
        </w:rPr>
        <w:t xml:space="preserve">These TKIs </w:t>
      </w:r>
      <w:r>
        <w:rPr>
          <w:rFonts w:ascii="Calibri" w:hAnsi="Calibri"/>
          <w:sz w:val="22"/>
          <w:szCs w:val="22"/>
        </w:rPr>
        <w:t>demonstrate pH dependent absorption for oral administration</w:t>
      </w:r>
      <w:r w:rsidR="00094C27">
        <w:rPr>
          <w:rFonts w:ascii="Calibri" w:hAnsi="Calibri"/>
          <w:sz w:val="22"/>
          <w:szCs w:val="22"/>
        </w:rPr>
        <w:t xml:space="preserve"> which may result in decreased efficacy</w:t>
      </w:r>
      <w:r w:rsidR="00216700">
        <w:rPr>
          <w:rFonts w:ascii="Calibri" w:hAnsi="Calibri"/>
          <w:sz w:val="22"/>
          <w:szCs w:val="22"/>
        </w:rPr>
        <w:t xml:space="preserve"> when given concomitantly with medications that increase gastric pH</w:t>
      </w:r>
      <w:r>
        <w:rPr>
          <w:rFonts w:ascii="Calibri" w:hAnsi="Calibri"/>
          <w:sz w:val="22"/>
          <w:szCs w:val="22"/>
        </w:rPr>
        <w:t xml:space="preserve">.  Dasatinib </w:t>
      </w:r>
      <w:r w:rsidR="00B34DAF">
        <w:rPr>
          <w:rFonts w:ascii="Calibri" w:hAnsi="Calibri"/>
          <w:sz w:val="22"/>
          <w:szCs w:val="22"/>
        </w:rPr>
        <w:t>area under the curve (</w:t>
      </w:r>
      <w:r>
        <w:rPr>
          <w:rFonts w:ascii="Calibri" w:hAnsi="Calibri"/>
          <w:sz w:val="22"/>
          <w:szCs w:val="22"/>
        </w:rPr>
        <w:t>AUC</w:t>
      </w:r>
      <w:r w:rsidR="00B34DAF">
        <w:rPr>
          <w:rFonts w:ascii="Calibri" w:hAnsi="Calibri"/>
          <w:sz w:val="22"/>
          <w:szCs w:val="22"/>
        </w:rPr>
        <w:t>)</w:t>
      </w:r>
      <w:r>
        <w:rPr>
          <w:rFonts w:ascii="Calibri" w:hAnsi="Calibri"/>
          <w:sz w:val="22"/>
          <w:szCs w:val="22"/>
        </w:rPr>
        <w:t xml:space="preserve"> is decreased when co-administered with antacids, H2 antagonists, and </w:t>
      </w:r>
      <w:r w:rsidR="00FF29B1">
        <w:rPr>
          <w:rFonts w:ascii="Calibri" w:hAnsi="Calibri"/>
          <w:sz w:val="22"/>
          <w:szCs w:val="22"/>
        </w:rPr>
        <w:t>PPIs</w:t>
      </w:r>
      <w:r>
        <w:rPr>
          <w:rFonts w:ascii="Calibri" w:hAnsi="Calibri"/>
          <w:sz w:val="22"/>
          <w:szCs w:val="22"/>
        </w:rPr>
        <w:t>.</w:t>
      </w:r>
      <w:r w:rsidR="001D584D">
        <w:rPr>
          <w:rFonts w:ascii="Calibri" w:hAnsi="Calibri"/>
          <w:sz w:val="22"/>
          <w:szCs w:val="22"/>
        </w:rPr>
        <w:fldChar w:fldCharType="begin"/>
      </w:r>
      <w:r w:rsidR="000B5F5F">
        <w:rPr>
          <w:rFonts w:ascii="Calibri" w:hAnsi="Calibri"/>
          <w:sz w:val="22"/>
          <w:szCs w:val="22"/>
        </w:rPr>
        <w:instrText xml:space="preserve"> ADDIN EN.CITE &lt;EndNote&gt;&lt;Cite ExcludeAuth="1" ExcludeYear="1"&gt;&lt;RecNum&gt;3&lt;/RecNum&gt;&lt;DisplayText&gt;&lt;style face="superscript"&gt;1&lt;/style&gt;&lt;/DisplayText&gt;&lt;record&gt;&lt;rec-number&gt;3&lt;/rec-number&gt;&lt;foreign-keys&gt;&lt;key app="EN" db-id="t59v5pstyfaf97eza2qpe92ue5sd5a05p9x2" timestamp="1474154630"&gt;3&lt;/key&gt;&lt;key app="ENWeb" db-id=""&gt;0&lt;/key&gt;&lt;/foreign-keys&gt;&lt;ref-type name="Journal Article"&gt;17&lt;/ref-type&gt;&lt;contributors&gt;&lt;/contributors&gt;&lt;titles&gt;&lt;title&gt;Sprycel [package insert]. Princeton, NJ: Bristol-Myers Squibb Company; 2015&amp;#xD;&lt;/title&gt;&lt;/titles&gt;&lt;dates&gt;&lt;/dates&gt;&lt;urls&gt;&lt;/urls&gt;&lt;/record&gt;&lt;/Cite&gt;&lt;/EndNote&gt;</w:instrText>
      </w:r>
      <w:r w:rsidR="001D584D">
        <w:rPr>
          <w:rFonts w:ascii="Calibri" w:hAnsi="Calibri"/>
          <w:sz w:val="22"/>
          <w:szCs w:val="22"/>
        </w:rPr>
        <w:fldChar w:fldCharType="separate"/>
      </w:r>
      <w:r w:rsidR="001D584D" w:rsidRPr="001D584D">
        <w:rPr>
          <w:rFonts w:ascii="Calibri" w:hAnsi="Calibri"/>
          <w:noProof/>
          <w:sz w:val="22"/>
          <w:szCs w:val="22"/>
          <w:vertAlign w:val="superscript"/>
        </w:rPr>
        <w:t>1</w:t>
      </w:r>
      <w:r w:rsidR="001D584D">
        <w:rPr>
          <w:rFonts w:ascii="Calibri" w:hAnsi="Calibri"/>
          <w:sz w:val="22"/>
          <w:szCs w:val="22"/>
        </w:rPr>
        <w:fldChar w:fldCharType="end"/>
      </w:r>
      <w:r w:rsidR="00B34DAF">
        <w:rPr>
          <w:rFonts w:ascii="Calibri" w:hAnsi="Calibri"/>
          <w:sz w:val="22"/>
          <w:szCs w:val="22"/>
        </w:rPr>
        <w:t xml:space="preserve">  Bosu</w:t>
      </w:r>
      <w:r w:rsidR="000334D9">
        <w:rPr>
          <w:rFonts w:ascii="Calibri" w:hAnsi="Calibri"/>
          <w:sz w:val="22"/>
          <w:szCs w:val="22"/>
        </w:rPr>
        <w:t>tinib</w:t>
      </w:r>
      <w:r w:rsidR="00B34DAF">
        <w:rPr>
          <w:rFonts w:ascii="Calibri" w:hAnsi="Calibri"/>
          <w:sz w:val="22"/>
          <w:szCs w:val="22"/>
        </w:rPr>
        <w:t xml:space="preserve"> </w:t>
      </w:r>
      <w:r w:rsidR="00216700">
        <w:rPr>
          <w:rFonts w:ascii="Calibri" w:hAnsi="Calibri"/>
          <w:sz w:val="22"/>
          <w:szCs w:val="22"/>
        </w:rPr>
        <w:t xml:space="preserve">and nilotinib </w:t>
      </w:r>
      <w:r w:rsidR="00B34DAF">
        <w:rPr>
          <w:rFonts w:ascii="Calibri" w:hAnsi="Calibri"/>
          <w:sz w:val="22"/>
          <w:szCs w:val="22"/>
        </w:rPr>
        <w:t>AUC</w:t>
      </w:r>
      <w:r w:rsidR="00216700">
        <w:rPr>
          <w:rFonts w:ascii="Calibri" w:hAnsi="Calibri"/>
          <w:sz w:val="22"/>
          <w:szCs w:val="22"/>
        </w:rPr>
        <w:t>s</w:t>
      </w:r>
      <w:r w:rsidR="00B34DAF">
        <w:rPr>
          <w:rFonts w:ascii="Calibri" w:hAnsi="Calibri"/>
          <w:sz w:val="22"/>
          <w:szCs w:val="22"/>
        </w:rPr>
        <w:t xml:space="preserve"> </w:t>
      </w:r>
      <w:r w:rsidR="00216700">
        <w:rPr>
          <w:rFonts w:ascii="Calibri" w:hAnsi="Calibri"/>
          <w:sz w:val="22"/>
          <w:szCs w:val="22"/>
        </w:rPr>
        <w:t>are</w:t>
      </w:r>
      <w:r w:rsidR="00B34DAF">
        <w:rPr>
          <w:rFonts w:ascii="Calibri" w:hAnsi="Calibri"/>
          <w:sz w:val="22"/>
          <w:szCs w:val="22"/>
        </w:rPr>
        <w:t xml:space="preserve"> decreased </w:t>
      </w:r>
      <w:r w:rsidR="00FF29B1">
        <w:rPr>
          <w:rFonts w:ascii="Calibri" w:hAnsi="Calibri"/>
          <w:sz w:val="22"/>
          <w:szCs w:val="22"/>
        </w:rPr>
        <w:t>with concomitant PPIs</w:t>
      </w:r>
      <w:r w:rsidR="00B34DAF">
        <w:rPr>
          <w:rFonts w:ascii="Calibri" w:hAnsi="Calibri"/>
          <w:sz w:val="22"/>
          <w:szCs w:val="22"/>
        </w:rPr>
        <w:t xml:space="preserve"> but antacids and H2 antagonists may be consider</w:t>
      </w:r>
      <w:r w:rsidR="00FF29B1">
        <w:rPr>
          <w:rFonts w:ascii="Calibri" w:hAnsi="Calibri"/>
          <w:sz w:val="22"/>
          <w:szCs w:val="22"/>
        </w:rPr>
        <w:t xml:space="preserve">ed if </w:t>
      </w:r>
      <w:r w:rsidR="000B3E9E">
        <w:rPr>
          <w:rFonts w:ascii="Calibri" w:hAnsi="Calibri"/>
          <w:sz w:val="22"/>
          <w:szCs w:val="22"/>
        </w:rPr>
        <w:t>TKI is given 2 hours before the antacid/H2 antagonist</w:t>
      </w:r>
      <w:r w:rsidR="00FF29B1">
        <w:rPr>
          <w:rFonts w:ascii="Calibri" w:hAnsi="Calibri"/>
          <w:sz w:val="22"/>
          <w:szCs w:val="22"/>
        </w:rPr>
        <w:t>.</w:t>
      </w:r>
      <w:r w:rsidR="001D584D" w:rsidRPr="000B3E9E">
        <w:rPr>
          <w:rFonts w:ascii="Calibri" w:hAnsi="Calibri"/>
          <w:sz w:val="22"/>
          <w:szCs w:val="22"/>
          <w:vertAlign w:val="superscript"/>
        </w:rPr>
        <w:fldChar w:fldCharType="begin"/>
      </w:r>
      <w:r w:rsidR="001D584D" w:rsidRPr="000B3E9E">
        <w:rPr>
          <w:rFonts w:ascii="Calibri" w:hAnsi="Calibri"/>
          <w:sz w:val="22"/>
          <w:szCs w:val="22"/>
          <w:vertAlign w:val="superscript"/>
        </w:rPr>
        <w:instrText xml:space="preserve"> ADDIN EN.CITE &lt;EndNote&gt;&lt;Cite ExcludeAuth="1" ExcludeYear="1"&gt;&lt;RecNum&gt;5&lt;/RecNum&gt;&lt;DisplayText&gt;&lt;style face="superscript"&gt;2&lt;/style&gt;&lt;/DisplayText&gt;&lt;record&gt;&lt;rec-number&gt;5&lt;/rec-number&gt;&lt;foreign-keys&gt;&lt;key app="EN" db-id="t59v5pstyfaf97eza2qpe92ue5sd5a05p9x2" timestamp="1474154731"&gt;5&lt;/key&gt;&lt;key app="ENWeb" db-id=""&gt;0&lt;/key&gt;&lt;/foreign-keys&gt;&lt;ref-type name="Journal Article"&gt;17&lt;/ref-type&gt;&lt;contributors&gt;&lt;/contributors&gt;&lt;titles&gt;&lt;title&gt;Bosulif [package insert]. New York, NY: Pfizer Labs; 2015.&lt;/title&gt;&lt;/titles&gt;&lt;dates&gt;&lt;/dates&gt;&lt;urls&gt;&lt;/urls&gt;&lt;/record&gt;&lt;/Cite&gt;&lt;/EndNote&gt;</w:instrText>
      </w:r>
      <w:r w:rsidR="001D584D" w:rsidRPr="000B3E9E">
        <w:rPr>
          <w:rFonts w:ascii="Calibri" w:hAnsi="Calibri"/>
          <w:sz w:val="22"/>
          <w:szCs w:val="22"/>
          <w:vertAlign w:val="superscript"/>
        </w:rPr>
        <w:fldChar w:fldCharType="separate"/>
      </w:r>
      <w:r w:rsidR="001D584D" w:rsidRPr="000B3E9E">
        <w:rPr>
          <w:rFonts w:ascii="Calibri" w:hAnsi="Calibri"/>
          <w:noProof/>
          <w:sz w:val="22"/>
          <w:szCs w:val="22"/>
          <w:vertAlign w:val="superscript"/>
        </w:rPr>
        <w:t>2</w:t>
      </w:r>
      <w:r w:rsidR="001D584D" w:rsidRPr="000B3E9E">
        <w:rPr>
          <w:rFonts w:ascii="Calibri" w:hAnsi="Calibri"/>
          <w:sz w:val="22"/>
          <w:szCs w:val="22"/>
          <w:vertAlign w:val="superscript"/>
        </w:rPr>
        <w:fldChar w:fldCharType="end"/>
      </w:r>
      <w:r w:rsidR="00216700" w:rsidRPr="000B3E9E">
        <w:rPr>
          <w:rFonts w:ascii="Calibri" w:hAnsi="Calibri"/>
          <w:sz w:val="22"/>
          <w:szCs w:val="22"/>
          <w:vertAlign w:val="superscript"/>
        </w:rPr>
        <w:t>,</w:t>
      </w:r>
      <w:r w:rsidR="00216700" w:rsidRPr="000B3E9E">
        <w:rPr>
          <w:rFonts w:ascii="Calibri" w:hAnsi="Calibri"/>
          <w:sz w:val="22"/>
          <w:szCs w:val="22"/>
          <w:vertAlign w:val="superscript"/>
        </w:rPr>
        <w:fldChar w:fldCharType="begin"/>
      </w:r>
      <w:r w:rsidR="00216700" w:rsidRPr="000B3E9E">
        <w:rPr>
          <w:rFonts w:ascii="Calibri" w:hAnsi="Calibri"/>
          <w:sz w:val="22"/>
          <w:szCs w:val="22"/>
          <w:vertAlign w:val="superscript"/>
        </w:rPr>
        <w:instrText xml:space="preserve"> ADDIN EN.CITE &lt;EndNote&gt;&lt;Cite ExcludeAuth="1" ExcludeYear="1"&gt;&lt;RecNum&gt;4&lt;/RecNum&gt;&lt;DisplayText&gt;&lt;style face="superscript"&gt;3&lt;/style&gt;&lt;/DisplayText&gt;&lt;record&gt;&lt;rec-number&gt;4&lt;/rec-number&gt;&lt;foreign-keys&gt;&lt;key app="EN" db-id="t59v5pstyfaf97eza2qpe92ue5sd5a05p9x2" timestamp="1474154681"&gt;4&lt;/key&gt;&lt;key app="ENWeb" db-id=""&gt;0&lt;/key&gt;&lt;/foreign-keys&gt;&lt;ref-type name="Journal Article"&gt;17&lt;/ref-type&gt;&lt;contributors&gt;&lt;/contributors&gt;&lt;titles&gt;&lt;title&gt;Tasigna [package insert]. East Hanover, NJ: Novartis; 2015&lt;/title&gt;&lt;/titles&gt;&lt;dates&gt;&lt;/dates&gt;&lt;urls&gt;&lt;/urls&gt;&lt;/record&gt;&lt;/Cite&gt;&lt;/EndNote&gt;</w:instrText>
      </w:r>
      <w:r w:rsidR="00216700" w:rsidRPr="000B3E9E">
        <w:rPr>
          <w:rFonts w:ascii="Calibri" w:hAnsi="Calibri"/>
          <w:sz w:val="22"/>
          <w:szCs w:val="22"/>
          <w:vertAlign w:val="superscript"/>
        </w:rPr>
        <w:fldChar w:fldCharType="separate"/>
      </w:r>
      <w:r w:rsidR="00216700" w:rsidRPr="000B3E9E">
        <w:rPr>
          <w:rFonts w:ascii="Calibri" w:hAnsi="Calibri"/>
          <w:noProof/>
          <w:sz w:val="22"/>
          <w:szCs w:val="22"/>
          <w:vertAlign w:val="superscript"/>
        </w:rPr>
        <w:t>3</w:t>
      </w:r>
      <w:r w:rsidR="00216700" w:rsidRPr="000B3E9E">
        <w:rPr>
          <w:rFonts w:ascii="Calibri" w:hAnsi="Calibri"/>
          <w:sz w:val="22"/>
          <w:szCs w:val="22"/>
          <w:vertAlign w:val="superscript"/>
        </w:rPr>
        <w:fldChar w:fldCharType="end"/>
      </w:r>
      <w:r w:rsidR="00216700">
        <w:rPr>
          <w:rFonts w:ascii="Calibri" w:hAnsi="Calibri"/>
          <w:sz w:val="22"/>
          <w:szCs w:val="22"/>
        </w:rPr>
        <w:t xml:space="preserve"> H</w:t>
      </w:r>
      <w:r w:rsidR="00FF29B1">
        <w:rPr>
          <w:rFonts w:ascii="Calibri" w:hAnsi="Calibri"/>
          <w:sz w:val="22"/>
          <w:szCs w:val="22"/>
        </w:rPr>
        <w:t xml:space="preserve">owever, </w:t>
      </w:r>
      <w:r w:rsidR="00216700">
        <w:rPr>
          <w:rFonts w:ascii="Calibri" w:hAnsi="Calibri"/>
          <w:sz w:val="22"/>
          <w:szCs w:val="22"/>
        </w:rPr>
        <w:t>for nilotinib a retrospective study</w:t>
      </w:r>
      <w:r w:rsidR="00FF29B1">
        <w:rPr>
          <w:rFonts w:ascii="Calibri" w:hAnsi="Calibri"/>
          <w:sz w:val="22"/>
          <w:szCs w:val="22"/>
        </w:rPr>
        <w:t xml:space="preserve"> has shown no difference in cytogenetic response rates for patients taking PPIs.</w:t>
      </w:r>
      <w:r w:rsidR="001D584D">
        <w:rPr>
          <w:rFonts w:ascii="Calibri" w:hAnsi="Calibri"/>
          <w:sz w:val="22"/>
          <w:szCs w:val="22"/>
        </w:rPr>
        <w:fldChar w:fldCharType="begin">
          <w:fldData xml:space="preserve">PEVuZE5vdGU+PENpdGU+PEF1dGhvcj5ZaW48L0F1dGhvcj48WWVhcj4yMDEyPC9ZZWFyPjxSZWNO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==
</w:fldData>
        </w:fldChar>
      </w:r>
      <w:r w:rsidR="001D584D">
        <w:rPr>
          <w:rFonts w:ascii="Calibri" w:hAnsi="Calibri"/>
          <w:sz w:val="22"/>
          <w:szCs w:val="22"/>
        </w:rPr>
        <w:instrText xml:space="preserve"> ADDIN EN.CITE </w:instrText>
      </w:r>
      <w:r w:rsidR="001D584D">
        <w:rPr>
          <w:rFonts w:ascii="Calibri" w:hAnsi="Calibri"/>
          <w:sz w:val="22"/>
          <w:szCs w:val="22"/>
        </w:rPr>
        <w:fldChar w:fldCharType="begin">
          <w:fldData xml:space="preserve">PEVuZE5vdGU+PENpdGU+PEF1dGhvcj5ZaW48L0F1dGhvcj48WWVhcj4yMDEyPC9ZZWFyPjxSZWNO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==
</w:fldData>
        </w:fldChar>
      </w:r>
      <w:r w:rsidR="001D584D">
        <w:rPr>
          <w:rFonts w:ascii="Calibri" w:hAnsi="Calibri"/>
          <w:sz w:val="22"/>
          <w:szCs w:val="22"/>
        </w:rPr>
        <w:instrText xml:space="preserve"> ADDIN EN.CITE.DATA </w:instrText>
      </w:r>
      <w:r w:rsidR="001D584D">
        <w:rPr>
          <w:rFonts w:ascii="Calibri" w:hAnsi="Calibri"/>
          <w:sz w:val="22"/>
          <w:szCs w:val="22"/>
        </w:rPr>
      </w:r>
      <w:r w:rsidR="001D584D">
        <w:rPr>
          <w:rFonts w:ascii="Calibri" w:hAnsi="Calibri"/>
          <w:sz w:val="22"/>
          <w:szCs w:val="22"/>
        </w:rPr>
        <w:fldChar w:fldCharType="end"/>
      </w:r>
      <w:r w:rsidR="001D584D">
        <w:rPr>
          <w:rFonts w:ascii="Calibri" w:hAnsi="Calibri"/>
          <w:sz w:val="22"/>
          <w:szCs w:val="22"/>
        </w:rPr>
      </w:r>
      <w:r w:rsidR="001D584D">
        <w:rPr>
          <w:rFonts w:ascii="Calibri" w:hAnsi="Calibri"/>
          <w:sz w:val="22"/>
          <w:szCs w:val="22"/>
        </w:rPr>
        <w:fldChar w:fldCharType="separate"/>
      </w:r>
      <w:r w:rsidR="001D584D" w:rsidRPr="001D584D">
        <w:rPr>
          <w:rFonts w:ascii="Calibri" w:hAnsi="Calibri"/>
          <w:noProof/>
          <w:sz w:val="22"/>
          <w:szCs w:val="22"/>
          <w:vertAlign w:val="superscript"/>
        </w:rPr>
        <w:t>4</w:t>
      </w:r>
      <w:r w:rsidR="001D584D">
        <w:rPr>
          <w:rFonts w:ascii="Calibri" w:hAnsi="Calibri"/>
          <w:sz w:val="22"/>
          <w:szCs w:val="22"/>
        </w:rPr>
        <w:fldChar w:fldCharType="end"/>
      </w:r>
      <w:r w:rsidR="00B300A4">
        <w:rPr>
          <w:rFonts w:ascii="Calibri" w:hAnsi="Calibri"/>
          <w:sz w:val="22"/>
          <w:szCs w:val="22"/>
        </w:rPr>
        <w:t xml:space="preserve"> </w:t>
      </w:r>
      <w:r w:rsidR="000334D9">
        <w:rPr>
          <w:rFonts w:ascii="Calibri" w:hAnsi="Calibri"/>
          <w:sz w:val="22"/>
          <w:szCs w:val="22"/>
        </w:rPr>
        <w:t xml:space="preserve"> </w:t>
      </w:r>
      <w:r w:rsidR="00BE79B8">
        <w:rPr>
          <w:rFonts w:ascii="Calibri" w:hAnsi="Calibri"/>
          <w:sz w:val="22"/>
          <w:szCs w:val="22"/>
        </w:rPr>
        <w:t>Imatinib and p</w:t>
      </w:r>
      <w:r w:rsidR="00B300A4">
        <w:rPr>
          <w:rFonts w:ascii="Calibri" w:hAnsi="Calibri"/>
          <w:sz w:val="22"/>
          <w:szCs w:val="22"/>
        </w:rPr>
        <w:t>onatinib AUC</w:t>
      </w:r>
      <w:r w:rsidR="00BE79B8">
        <w:rPr>
          <w:rFonts w:ascii="Calibri" w:hAnsi="Calibri"/>
          <w:sz w:val="22"/>
          <w:szCs w:val="22"/>
        </w:rPr>
        <w:t xml:space="preserve">s are </w:t>
      </w:r>
      <w:r w:rsidR="000334D9">
        <w:rPr>
          <w:rFonts w:ascii="Calibri" w:hAnsi="Calibri"/>
          <w:sz w:val="22"/>
          <w:szCs w:val="22"/>
        </w:rPr>
        <w:t>not appreciably de</w:t>
      </w:r>
      <w:r w:rsidR="00B300A4">
        <w:rPr>
          <w:rFonts w:ascii="Calibri" w:hAnsi="Calibri"/>
          <w:sz w:val="22"/>
          <w:szCs w:val="22"/>
        </w:rPr>
        <w:t>creased by PPI co-administration.</w:t>
      </w:r>
      <w:r w:rsidR="001D584D">
        <w:rPr>
          <w:rFonts w:ascii="Calibri" w:hAnsi="Calibri"/>
          <w:sz w:val="22"/>
          <w:szCs w:val="22"/>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sidR="001D584D">
        <w:rPr>
          <w:rFonts w:ascii="Calibri" w:hAnsi="Calibri"/>
          <w:sz w:val="22"/>
          <w:szCs w:val="22"/>
        </w:rPr>
        <w:instrText xml:space="preserve"> ADDIN EN.CITE </w:instrText>
      </w:r>
      <w:r w:rsidR="001D584D">
        <w:rPr>
          <w:rFonts w:ascii="Calibri" w:hAnsi="Calibri"/>
          <w:sz w:val="22"/>
          <w:szCs w:val="22"/>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sidR="001D584D">
        <w:rPr>
          <w:rFonts w:ascii="Calibri" w:hAnsi="Calibri"/>
          <w:sz w:val="22"/>
          <w:szCs w:val="22"/>
        </w:rPr>
        <w:instrText xml:space="preserve"> ADDIN EN.CITE.DATA </w:instrText>
      </w:r>
      <w:r w:rsidR="001D584D">
        <w:rPr>
          <w:rFonts w:ascii="Calibri" w:hAnsi="Calibri"/>
          <w:sz w:val="22"/>
          <w:szCs w:val="22"/>
        </w:rPr>
      </w:r>
      <w:r w:rsidR="001D584D">
        <w:rPr>
          <w:rFonts w:ascii="Calibri" w:hAnsi="Calibri"/>
          <w:sz w:val="22"/>
          <w:szCs w:val="22"/>
        </w:rPr>
        <w:fldChar w:fldCharType="end"/>
      </w:r>
      <w:r w:rsidR="001D584D">
        <w:rPr>
          <w:rFonts w:ascii="Calibri" w:hAnsi="Calibri"/>
          <w:sz w:val="22"/>
          <w:szCs w:val="22"/>
        </w:rPr>
      </w:r>
      <w:r w:rsidR="001D584D">
        <w:rPr>
          <w:rFonts w:ascii="Calibri" w:hAnsi="Calibri"/>
          <w:sz w:val="22"/>
          <w:szCs w:val="22"/>
        </w:rPr>
        <w:fldChar w:fldCharType="separate"/>
      </w:r>
      <w:r w:rsidR="001D584D" w:rsidRPr="001D584D">
        <w:rPr>
          <w:rFonts w:ascii="Calibri" w:hAnsi="Calibri"/>
          <w:noProof/>
          <w:sz w:val="22"/>
          <w:szCs w:val="22"/>
          <w:vertAlign w:val="superscript"/>
        </w:rPr>
        <w:t>5,6</w:t>
      </w:r>
      <w:r w:rsidR="001D584D">
        <w:rPr>
          <w:rFonts w:ascii="Calibri" w:hAnsi="Calibri"/>
          <w:sz w:val="22"/>
          <w:szCs w:val="22"/>
        </w:rPr>
        <w:fldChar w:fldCharType="end"/>
      </w:r>
      <w:r>
        <w:rPr>
          <w:rFonts w:ascii="Calibri" w:hAnsi="Calibri"/>
          <w:sz w:val="22"/>
          <w:szCs w:val="22"/>
        </w:rPr>
        <w:t xml:space="preserve">  </w:t>
      </w:r>
    </w:p>
    <w:p w14:paraId="652551A3" w14:textId="77777777" w:rsidR="001323ED" w:rsidRPr="001323ED" w:rsidRDefault="001323ED">
      <w:pPr>
        <w:rPr>
          <w:rFonts w:ascii="Calibri" w:hAnsi="Calibri"/>
          <w:sz w:val="22"/>
          <w:szCs w:val="22"/>
        </w:rPr>
      </w:pPr>
    </w:p>
    <w:tbl>
      <w:tblPr>
        <w:tblStyle w:val="TableGrid"/>
        <w:tblW w:w="7945" w:type="dxa"/>
        <w:tblLayout w:type="fixed"/>
        <w:tblCellMar>
          <w:left w:w="115" w:type="dxa"/>
          <w:right w:w="115" w:type="dxa"/>
        </w:tblCellMar>
        <w:tblLook w:val="04A0" w:firstRow="1" w:lastRow="0" w:firstColumn="1" w:lastColumn="0" w:noHBand="0" w:noVBand="1"/>
      </w:tblPr>
      <w:tblGrid>
        <w:gridCol w:w="3445"/>
        <w:gridCol w:w="1350"/>
        <w:gridCol w:w="1260"/>
        <w:gridCol w:w="1890"/>
      </w:tblGrid>
      <w:tr w:rsidR="005C1399" w:rsidRPr="00CE2944" w14:paraId="7E75E70C" w14:textId="54564DAB" w:rsidTr="005C1399">
        <w:tc>
          <w:tcPr>
            <w:tcW w:w="3445" w:type="dxa"/>
            <w:tcBorders>
              <w:right w:val="thinThickSmallGap" w:sz="24" w:space="0" w:color="auto"/>
            </w:tcBorders>
          </w:tcPr>
          <w:p w14:paraId="0D497480" w14:textId="38ED15F0" w:rsidR="005C1399" w:rsidRPr="008E3B37" w:rsidRDefault="00F234D2" w:rsidP="00546AF6">
            <w:pPr>
              <w:pStyle w:val="ListParagraph"/>
              <w:spacing w:line="220" w:lineRule="exact"/>
              <w:ind w:left="0"/>
              <w:rPr>
                <w:rFonts w:ascii="Calibri" w:hAnsi="Calibri"/>
                <w:sz w:val="22"/>
                <w:szCs w:val="22"/>
              </w:rPr>
            </w:pPr>
            <w:r>
              <w:rPr>
                <w:rFonts w:ascii="Calibri" w:hAnsi="Calibri"/>
                <w:sz w:val="22"/>
                <w:szCs w:val="22"/>
              </w:rPr>
              <w:t>Type of BCR-ABL Tyrosine Kinase Inhibitors</w:t>
            </w:r>
          </w:p>
        </w:tc>
        <w:tc>
          <w:tcPr>
            <w:tcW w:w="1350" w:type="dxa"/>
            <w:tcBorders>
              <w:left w:val="thinThickSmallGap" w:sz="24" w:space="0" w:color="auto"/>
            </w:tcBorders>
          </w:tcPr>
          <w:p w14:paraId="24935336" w14:textId="31B80DEF" w:rsidR="0031012F" w:rsidRDefault="0031012F" w:rsidP="0031012F">
            <w:pPr>
              <w:spacing w:line="220" w:lineRule="exact"/>
              <w:jc w:val="center"/>
              <w:rPr>
                <w:rFonts w:ascii="Calibri" w:hAnsi="Calibri"/>
                <w:sz w:val="22"/>
                <w:szCs w:val="22"/>
              </w:rPr>
            </w:pPr>
            <w:r>
              <w:rPr>
                <w:rFonts w:ascii="Calibri" w:hAnsi="Calibri"/>
                <w:sz w:val="22"/>
                <w:szCs w:val="22"/>
              </w:rPr>
              <w:t xml:space="preserve">Imatinib, </w:t>
            </w:r>
          </w:p>
          <w:p w14:paraId="56070513" w14:textId="7DBA6BAF" w:rsidR="005C1399" w:rsidRPr="00CE2944" w:rsidRDefault="0031012F" w:rsidP="0031012F">
            <w:pPr>
              <w:spacing w:line="220" w:lineRule="exact"/>
              <w:jc w:val="center"/>
              <w:rPr>
                <w:rFonts w:ascii="Calibri" w:hAnsi="Calibri"/>
                <w:sz w:val="22"/>
                <w:szCs w:val="22"/>
              </w:rPr>
            </w:pPr>
            <w:r>
              <w:rPr>
                <w:rFonts w:ascii="Calibri" w:hAnsi="Calibri"/>
                <w:sz w:val="22"/>
                <w:szCs w:val="22"/>
              </w:rPr>
              <w:t>ponatinib</w:t>
            </w:r>
          </w:p>
        </w:tc>
        <w:tc>
          <w:tcPr>
            <w:tcW w:w="1260" w:type="dxa"/>
          </w:tcPr>
          <w:p w14:paraId="1EA07A51" w14:textId="74200CF1" w:rsidR="005C1399" w:rsidRPr="00CE2944" w:rsidRDefault="0031012F" w:rsidP="003D7916">
            <w:pPr>
              <w:spacing w:line="220" w:lineRule="exact"/>
              <w:jc w:val="center"/>
              <w:rPr>
                <w:rFonts w:ascii="Calibri" w:hAnsi="Calibri"/>
                <w:sz w:val="22"/>
                <w:szCs w:val="22"/>
              </w:rPr>
            </w:pPr>
            <w:r>
              <w:rPr>
                <w:rFonts w:ascii="Calibri" w:hAnsi="Calibri"/>
                <w:sz w:val="22"/>
                <w:szCs w:val="22"/>
              </w:rPr>
              <w:t>nilotinib</w:t>
            </w:r>
          </w:p>
        </w:tc>
        <w:tc>
          <w:tcPr>
            <w:tcW w:w="1890" w:type="dxa"/>
          </w:tcPr>
          <w:p w14:paraId="35773050" w14:textId="77777777" w:rsidR="005C1399" w:rsidRDefault="00F234D2" w:rsidP="003D7916">
            <w:pPr>
              <w:spacing w:line="220" w:lineRule="exact"/>
              <w:jc w:val="center"/>
              <w:rPr>
                <w:rFonts w:ascii="Calibri" w:hAnsi="Calibri"/>
                <w:sz w:val="22"/>
                <w:szCs w:val="22"/>
              </w:rPr>
            </w:pPr>
            <w:r>
              <w:rPr>
                <w:rFonts w:ascii="Calibri" w:hAnsi="Calibri"/>
                <w:sz w:val="22"/>
                <w:szCs w:val="22"/>
              </w:rPr>
              <w:t>bosutinib,</w:t>
            </w:r>
          </w:p>
          <w:p w14:paraId="665A9B0B" w14:textId="38853080" w:rsidR="00F234D2" w:rsidRPr="00CE2944" w:rsidRDefault="00F234D2" w:rsidP="003D7916">
            <w:pPr>
              <w:spacing w:line="220" w:lineRule="exact"/>
              <w:jc w:val="center"/>
              <w:rPr>
                <w:rFonts w:ascii="Calibri" w:hAnsi="Calibri"/>
                <w:sz w:val="22"/>
                <w:szCs w:val="22"/>
              </w:rPr>
            </w:pPr>
            <w:r>
              <w:rPr>
                <w:rFonts w:ascii="Calibri" w:hAnsi="Calibri"/>
                <w:sz w:val="22"/>
                <w:szCs w:val="22"/>
              </w:rPr>
              <w:t>dasatinib</w:t>
            </w:r>
          </w:p>
        </w:tc>
      </w:tr>
      <w:tr w:rsidR="005C1399" w:rsidRPr="00CE2944" w14:paraId="347EB912" w14:textId="77777777" w:rsidTr="005C1399">
        <w:tc>
          <w:tcPr>
            <w:tcW w:w="3445" w:type="dxa"/>
            <w:tcBorders>
              <w:top w:val="thinThickSmallGap" w:sz="24" w:space="0" w:color="auto"/>
              <w:right w:val="thinThickSmallGap" w:sz="24" w:space="0" w:color="auto"/>
            </w:tcBorders>
          </w:tcPr>
          <w:p w14:paraId="303876C3" w14:textId="689F6833" w:rsidR="005C1399" w:rsidRPr="00CE2944" w:rsidRDefault="005C1399" w:rsidP="000B5F5F">
            <w:pPr>
              <w:spacing w:line="220" w:lineRule="exact"/>
              <w:rPr>
                <w:rFonts w:ascii="Calibri" w:hAnsi="Calibri"/>
                <w:sz w:val="22"/>
                <w:szCs w:val="22"/>
              </w:rPr>
            </w:pPr>
            <w:r>
              <w:rPr>
                <w:rFonts w:ascii="Calibri" w:hAnsi="Calibri"/>
                <w:sz w:val="22"/>
                <w:szCs w:val="22"/>
              </w:rPr>
              <w:t>Not likely to decrease AUC</w:t>
            </w:r>
          </w:p>
        </w:tc>
        <w:tc>
          <w:tcPr>
            <w:tcW w:w="1350" w:type="dxa"/>
            <w:tcBorders>
              <w:top w:val="thinThickSmallGap" w:sz="24" w:space="0" w:color="auto"/>
              <w:left w:val="thinThickSmallGap" w:sz="24" w:space="0" w:color="auto"/>
            </w:tcBorders>
          </w:tcPr>
          <w:p w14:paraId="0130F2A2" w14:textId="1036079D" w:rsidR="005C1399" w:rsidRPr="00BE79B8" w:rsidRDefault="005C1399" w:rsidP="001D584D">
            <w:pPr>
              <w:spacing w:line="220" w:lineRule="exact"/>
              <w:jc w:val="center"/>
              <w:rPr>
                <w:rFonts w:ascii="Calibri" w:hAnsi="Calibri"/>
                <w:sz w:val="18"/>
                <w:szCs w:val="18"/>
              </w:rPr>
            </w:pPr>
            <w:r w:rsidRPr="00BE79B8">
              <w:rPr>
                <w:rFonts w:ascii="Wingdings" w:hAnsi="Wingdings"/>
                <w:color w:val="20D71A"/>
                <w:sz w:val="18"/>
                <w:szCs w:val="18"/>
              </w:rPr>
              <w:t></w:t>
            </w:r>
            <w:r>
              <w:rPr>
                <w:rFonts w:ascii="Calibri" w:hAnsi="Calibri"/>
                <w:sz w:val="18"/>
                <w:szCs w:val="18"/>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Pr>
                <w:rFonts w:ascii="Calibri" w:hAnsi="Calibri"/>
                <w:sz w:val="18"/>
                <w:szCs w:val="18"/>
              </w:rPr>
              <w:instrText xml:space="preserve"> ADDIN EN.CITE </w:instrText>
            </w:r>
            <w:r>
              <w:rPr>
                <w:rFonts w:ascii="Calibri" w:hAnsi="Calibri"/>
                <w:sz w:val="18"/>
                <w:szCs w:val="18"/>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Pr>
                <w:rFonts w:ascii="Calibri" w:hAnsi="Calibri"/>
                <w:sz w:val="18"/>
                <w:szCs w:val="18"/>
              </w:rPr>
              <w:instrText xml:space="preserve"> ADDIN EN.CITE.DATA </w:instrText>
            </w:r>
            <w:r>
              <w:rPr>
                <w:rFonts w:ascii="Calibri" w:hAnsi="Calibri"/>
                <w:sz w:val="18"/>
                <w:szCs w:val="18"/>
              </w:rPr>
            </w:r>
            <w:r>
              <w:rPr>
                <w:rFonts w:ascii="Calibri" w:hAnsi="Calibri"/>
                <w:sz w:val="18"/>
                <w:szCs w:val="18"/>
              </w:rPr>
              <w:fldChar w:fldCharType="end"/>
            </w:r>
            <w:r>
              <w:rPr>
                <w:rFonts w:ascii="Calibri" w:hAnsi="Calibri"/>
                <w:sz w:val="18"/>
                <w:szCs w:val="18"/>
              </w:rPr>
            </w:r>
            <w:r>
              <w:rPr>
                <w:rFonts w:ascii="Calibri" w:hAnsi="Calibri"/>
                <w:sz w:val="18"/>
                <w:szCs w:val="18"/>
              </w:rPr>
              <w:fldChar w:fldCharType="separate"/>
            </w:r>
            <w:r w:rsidRPr="001D584D">
              <w:rPr>
                <w:rFonts w:ascii="Calibri" w:hAnsi="Calibri"/>
                <w:noProof/>
                <w:sz w:val="18"/>
                <w:szCs w:val="18"/>
                <w:vertAlign w:val="superscript"/>
              </w:rPr>
              <w:t>5,6</w:t>
            </w:r>
            <w:r>
              <w:rPr>
                <w:rFonts w:ascii="Calibri" w:hAnsi="Calibri"/>
                <w:sz w:val="18"/>
                <w:szCs w:val="18"/>
              </w:rPr>
              <w:fldChar w:fldCharType="end"/>
            </w:r>
            <w:r w:rsidRPr="00BE79B8">
              <w:rPr>
                <w:rFonts w:ascii="Calibri" w:hAnsi="Calibri"/>
                <w:sz w:val="18"/>
                <w:szCs w:val="18"/>
              </w:rPr>
              <w:t xml:space="preserve">  </w:t>
            </w:r>
          </w:p>
        </w:tc>
        <w:tc>
          <w:tcPr>
            <w:tcW w:w="1260" w:type="dxa"/>
            <w:tcBorders>
              <w:top w:val="thinThickSmallGap" w:sz="24" w:space="0" w:color="auto"/>
            </w:tcBorders>
          </w:tcPr>
          <w:p w14:paraId="5BAAA5E4" w14:textId="77777777" w:rsidR="005C1399" w:rsidRPr="000E477B" w:rsidRDefault="005C1399" w:rsidP="003D7916">
            <w:pPr>
              <w:spacing w:line="220" w:lineRule="exact"/>
              <w:jc w:val="center"/>
              <w:rPr>
                <w:rFonts w:ascii="Calibri" w:hAnsi="Calibri"/>
                <w:sz w:val="18"/>
                <w:szCs w:val="18"/>
              </w:rPr>
            </w:pPr>
          </w:p>
        </w:tc>
        <w:tc>
          <w:tcPr>
            <w:tcW w:w="1890" w:type="dxa"/>
            <w:tcBorders>
              <w:top w:val="thinThickSmallGap" w:sz="24" w:space="0" w:color="auto"/>
              <w:right w:val="single" w:sz="4" w:space="0" w:color="auto"/>
            </w:tcBorders>
          </w:tcPr>
          <w:p w14:paraId="4DD8D185" w14:textId="16191796" w:rsidR="005C1399" w:rsidRPr="000E477B" w:rsidRDefault="005C1399" w:rsidP="003D7916">
            <w:pPr>
              <w:spacing w:line="220" w:lineRule="exact"/>
              <w:jc w:val="center"/>
              <w:rPr>
                <w:rFonts w:ascii="Calibri" w:hAnsi="Calibri"/>
                <w:sz w:val="18"/>
                <w:szCs w:val="18"/>
              </w:rPr>
            </w:pPr>
          </w:p>
        </w:tc>
      </w:tr>
      <w:tr w:rsidR="005C1399" w:rsidRPr="00CE2944" w14:paraId="475B0AAE" w14:textId="77777777" w:rsidTr="005C1399">
        <w:tc>
          <w:tcPr>
            <w:tcW w:w="3445" w:type="dxa"/>
            <w:tcBorders>
              <w:right w:val="thinThickSmallGap" w:sz="24" w:space="0" w:color="auto"/>
            </w:tcBorders>
          </w:tcPr>
          <w:p w14:paraId="54B567CE" w14:textId="03B57966" w:rsidR="005C1399" w:rsidRDefault="005C1399" w:rsidP="00216700">
            <w:pPr>
              <w:spacing w:line="220" w:lineRule="exact"/>
              <w:rPr>
                <w:rFonts w:ascii="Calibri" w:hAnsi="Calibri"/>
                <w:sz w:val="22"/>
                <w:szCs w:val="22"/>
              </w:rPr>
            </w:pPr>
            <w:r>
              <w:rPr>
                <w:rFonts w:ascii="Calibri" w:hAnsi="Calibri"/>
                <w:sz w:val="22"/>
                <w:szCs w:val="22"/>
              </w:rPr>
              <w:t>Possible decrease in AUC</w:t>
            </w:r>
            <w:r w:rsidR="00216700">
              <w:rPr>
                <w:rFonts w:ascii="Calibri" w:hAnsi="Calibri"/>
                <w:sz w:val="22"/>
                <w:szCs w:val="22"/>
              </w:rPr>
              <w:t xml:space="preserve"> and efficacy</w:t>
            </w:r>
          </w:p>
        </w:tc>
        <w:tc>
          <w:tcPr>
            <w:tcW w:w="1350" w:type="dxa"/>
            <w:tcBorders>
              <w:left w:val="thinThickSmallGap" w:sz="24" w:space="0" w:color="auto"/>
            </w:tcBorders>
          </w:tcPr>
          <w:p w14:paraId="4E5C3F06" w14:textId="77777777" w:rsidR="005C1399" w:rsidRPr="000E477B" w:rsidRDefault="005C1399" w:rsidP="000E477B">
            <w:pPr>
              <w:spacing w:line="220" w:lineRule="exact"/>
              <w:jc w:val="center"/>
              <w:rPr>
                <w:rFonts w:ascii="Calibri" w:hAnsi="Calibri"/>
                <w:sz w:val="18"/>
                <w:szCs w:val="18"/>
              </w:rPr>
            </w:pPr>
          </w:p>
        </w:tc>
        <w:tc>
          <w:tcPr>
            <w:tcW w:w="1260" w:type="dxa"/>
          </w:tcPr>
          <w:p w14:paraId="43EAA651" w14:textId="75123AAC" w:rsidR="005C1399" w:rsidRPr="000E477B" w:rsidRDefault="005C1399" w:rsidP="000B5F5F">
            <w:pPr>
              <w:spacing w:line="220" w:lineRule="exact"/>
              <w:jc w:val="center"/>
              <w:rPr>
                <w:rFonts w:ascii="Wingdings" w:hAnsi="Wingdings"/>
                <w:color w:val="FCC00A"/>
                <w:sz w:val="18"/>
                <w:szCs w:val="18"/>
              </w:rPr>
            </w:pPr>
            <w:r w:rsidRPr="000E477B">
              <w:rPr>
                <w:rFonts w:ascii="Wingdings" w:hAnsi="Wingdings"/>
                <w:color w:val="FCC00A"/>
                <w:sz w:val="18"/>
                <w:szCs w:val="18"/>
              </w:rPr>
              <w:t></w:t>
            </w:r>
            <w:r>
              <w:rPr>
                <w:rFonts w:ascii="Calibri" w:hAnsi="Calibri"/>
                <w:sz w:val="18"/>
                <w:szCs w:val="18"/>
              </w:rPr>
              <w:fldChar w:fldCharType="begin">
                <w:fldData xml:space="preserve">PEVuZE5vdGU+PENpdGUgRXhjbHVkZUF1dGg9IjEiIEV4Y2x1ZGVZZWFyPSIxIj48UmVjTnVtPjQ8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</w:fldData>
              </w:fldChar>
            </w:r>
            <w:r>
              <w:rPr>
                <w:rFonts w:ascii="Calibri" w:hAnsi="Calibri"/>
                <w:sz w:val="18"/>
                <w:szCs w:val="18"/>
              </w:rPr>
              <w:instrText xml:space="preserve"> ADDIN EN.CITE </w:instrText>
            </w:r>
            <w:r>
              <w:rPr>
                <w:rFonts w:ascii="Calibri" w:hAnsi="Calibri"/>
                <w:sz w:val="18"/>
                <w:szCs w:val="18"/>
              </w:rPr>
              <w:fldChar w:fldCharType="begin">
                <w:fldData xml:space="preserve">PEVuZE5vdGU+PENpdGUgRXhjbHVkZUF1dGg9IjEiIEV4Y2x1ZGVZZWFyPSIxIj48UmVjTnVtPjQ8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</w:fldData>
              </w:fldChar>
            </w:r>
            <w:r>
              <w:rPr>
                <w:rFonts w:ascii="Calibri" w:hAnsi="Calibri"/>
                <w:sz w:val="18"/>
                <w:szCs w:val="18"/>
              </w:rPr>
              <w:instrText xml:space="preserve"> ADDIN EN.CITE.DATA </w:instrText>
            </w:r>
            <w:r>
              <w:rPr>
                <w:rFonts w:ascii="Calibri" w:hAnsi="Calibri"/>
                <w:sz w:val="18"/>
                <w:szCs w:val="18"/>
              </w:rPr>
            </w:r>
            <w:r>
              <w:rPr>
                <w:rFonts w:ascii="Calibri" w:hAnsi="Calibri"/>
                <w:sz w:val="18"/>
                <w:szCs w:val="18"/>
              </w:rPr>
              <w:fldChar w:fldCharType="end"/>
            </w:r>
            <w:r>
              <w:rPr>
                <w:rFonts w:ascii="Calibri" w:hAnsi="Calibri"/>
                <w:sz w:val="18"/>
                <w:szCs w:val="18"/>
              </w:rPr>
            </w:r>
            <w:r>
              <w:rPr>
                <w:rFonts w:ascii="Calibri" w:hAnsi="Calibri"/>
                <w:sz w:val="18"/>
                <w:szCs w:val="18"/>
              </w:rPr>
              <w:fldChar w:fldCharType="separate"/>
            </w:r>
            <w:r w:rsidRPr="000B5F5F">
              <w:rPr>
                <w:rFonts w:ascii="Calibri" w:hAnsi="Calibri"/>
                <w:noProof/>
                <w:sz w:val="18"/>
                <w:szCs w:val="18"/>
                <w:vertAlign w:val="superscript"/>
              </w:rPr>
              <w:t>3,4</w:t>
            </w:r>
            <w:r>
              <w:rPr>
                <w:rFonts w:ascii="Calibri" w:hAnsi="Calibri"/>
                <w:sz w:val="18"/>
                <w:szCs w:val="18"/>
              </w:rPr>
              <w:fldChar w:fldCharType="end"/>
            </w:r>
          </w:p>
        </w:tc>
        <w:tc>
          <w:tcPr>
            <w:tcW w:w="1890" w:type="dxa"/>
            <w:tcBorders>
              <w:right w:val="single" w:sz="4" w:space="0" w:color="auto"/>
            </w:tcBorders>
          </w:tcPr>
          <w:p w14:paraId="1BFB42CD" w14:textId="77777777" w:rsidR="005C1399" w:rsidRPr="000E477B" w:rsidRDefault="005C1399" w:rsidP="003D7916">
            <w:pPr>
              <w:spacing w:line="220" w:lineRule="exact"/>
              <w:jc w:val="center"/>
              <w:rPr>
                <w:rFonts w:ascii="Wingdings" w:hAnsi="Wingdings"/>
                <w:color w:val="FCC00A"/>
                <w:sz w:val="18"/>
                <w:szCs w:val="18"/>
              </w:rPr>
            </w:pPr>
          </w:p>
        </w:tc>
      </w:tr>
      <w:tr w:rsidR="005C1399" w:rsidRPr="00CE2944" w14:paraId="1E01E217" w14:textId="77777777" w:rsidTr="005C1399">
        <w:tc>
          <w:tcPr>
            <w:tcW w:w="3445" w:type="dxa"/>
            <w:tcBorders>
              <w:right w:val="thinThickSmallGap" w:sz="24" w:space="0" w:color="auto"/>
            </w:tcBorders>
          </w:tcPr>
          <w:p w14:paraId="7C8EA56D" w14:textId="2249579B" w:rsidR="005C1399" w:rsidRPr="00CE2944" w:rsidRDefault="005C1399" w:rsidP="00216700">
            <w:pPr>
              <w:spacing w:line="220" w:lineRule="exact"/>
              <w:rPr>
                <w:rFonts w:ascii="Calibri" w:hAnsi="Calibri"/>
                <w:sz w:val="22"/>
                <w:szCs w:val="22"/>
              </w:rPr>
            </w:pPr>
            <w:r>
              <w:rPr>
                <w:rFonts w:ascii="Calibri" w:hAnsi="Calibri"/>
                <w:sz w:val="22"/>
                <w:szCs w:val="22"/>
              </w:rPr>
              <w:t>Probable decrease in AUC</w:t>
            </w:r>
            <w:r w:rsidR="00216700">
              <w:rPr>
                <w:rFonts w:ascii="Calibri" w:hAnsi="Calibri"/>
                <w:sz w:val="22"/>
                <w:szCs w:val="22"/>
              </w:rPr>
              <w:t xml:space="preserve"> and efficacy</w:t>
            </w:r>
          </w:p>
        </w:tc>
        <w:tc>
          <w:tcPr>
            <w:tcW w:w="1350" w:type="dxa"/>
            <w:tcBorders>
              <w:left w:val="thinThickSmallGap" w:sz="24" w:space="0" w:color="auto"/>
            </w:tcBorders>
          </w:tcPr>
          <w:p w14:paraId="076D4827" w14:textId="77777777" w:rsidR="005C1399" w:rsidRPr="000E477B" w:rsidRDefault="005C1399" w:rsidP="000E477B">
            <w:pPr>
              <w:spacing w:line="220" w:lineRule="exact"/>
              <w:jc w:val="center"/>
              <w:rPr>
                <w:rFonts w:ascii="Calibri" w:hAnsi="Calibri"/>
                <w:sz w:val="18"/>
                <w:szCs w:val="18"/>
              </w:rPr>
            </w:pPr>
          </w:p>
        </w:tc>
        <w:tc>
          <w:tcPr>
            <w:tcW w:w="1260" w:type="dxa"/>
          </w:tcPr>
          <w:p w14:paraId="050CD964" w14:textId="77777777" w:rsidR="005C1399" w:rsidRPr="000E477B" w:rsidRDefault="005C1399" w:rsidP="003D7916">
            <w:pPr>
              <w:spacing w:line="220" w:lineRule="exact"/>
              <w:jc w:val="center"/>
              <w:rPr>
                <w:rFonts w:ascii="Wingdings" w:hAnsi="Wingdings"/>
                <w:color w:val="FCC00A"/>
                <w:sz w:val="18"/>
                <w:szCs w:val="18"/>
              </w:rPr>
            </w:pPr>
          </w:p>
        </w:tc>
        <w:tc>
          <w:tcPr>
            <w:tcW w:w="1890" w:type="dxa"/>
            <w:tcBorders>
              <w:right w:val="single" w:sz="4" w:space="0" w:color="auto"/>
            </w:tcBorders>
          </w:tcPr>
          <w:p w14:paraId="0675B5E5" w14:textId="592A57EE" w:rsidR="005C1399" w:rsidRPr="000E477B" w:rsidRDefault="005C1399" w:rsidP="000B5F5F">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rPr>
              <w:fldChar w:fldCharType="begin"/>
            </w:r>
            <w:r>
              <w:rPr>
                <w:rFonts w:ascii="Calibri" w:hAnsi="Calibri"/>
                <w:sz w:val="18"/>
                <w:szCs w:val="18"/>
              </w:rPr>
              <w:instrText xml:space="preserve"> ADDIN EN.CITE &lt;EndNote&gt;&lt;Cite ExcludeAuth="1" ExcludeYear="1"&gt;&lt;RecNum&gt;3&lt;/RecNum&gt;&lt;DisplayText&gt;&lt;style face="superscript"&gt;1,2&lt;/style&gt;&lt;/DisplayText&gt;&lt;record&gt;&lt;rec-number&gt;3&lt;/rec-number&gt;&lt;foreign-keys&gt;&lt;key app="EN" db-id="t59v5pstyfaf97eza2qpe92ue5sd5a05p9x2" timestamp="1474154630"&gt;3&lt;/key&gt;&lt;key app="ENWeb" db-id=""&gt;0&lt;/key&gt;&lt;/foreign-keys&gt;&lt;ref-type name="Journal Article"&gt;17&lt;/ref-type&gt;&lt;contributors&gt;&lt;/contributors&gt;&lt;titles&gt;&lt;title&gt;Sprycel [package insert]. Princeton, NJ: Bristol-Myers Squibb Company; 2015&amp;#xD;&lt;/title&gt;&lt;/titles&gt;&lt;dates&gt;&lt;/dates&gt;&lt;urls&gt;&lt;/urls&gt;&lt;/record&gt;&lt;/Cite&gt;&lt;Cite ExcludeAuth="1" ExcludeYear="1"&gt;&lt;RecNum&gt;5&lt;/RecNum&gt;&lt;record&gt;&lt;rec-number&gt;5&lt;/rec-number&gt;&lt;foreign-keys&gt;&lt;key app="EN" db-id="t59v5pstyfaf97eza2qpe92ue5sd5a05p9x2" timestamp="1474154731"&gt;5&lt;/key&gt;&lt;key app="ENWeb" db-id=""&gt;0&lt;/key&gt;&lt;/foreign-keys&gt;&lt;ref-type name="Journal Article"&gt;17&lt;/ref-type&gt;&lt;contributors&gt;&lt;/contributors&gt;&lt;titles&gt;&lt;title&gt;Bosulif [package insert]. New York, NY: Pfizer Labs; 2015.&lt;/title&gt;&lt;/titles&gt;&lt;dates&gt;&lt;/dates&gt;&lt;urls&gt;&lt;/urls&gt;&lt;/record&gt;&lt;/Cite&gt;&lt;/EndNote&gt;</w:instrText>
            </w:r>
            <w:r>
              <w:rPr>
                <w:rFonts w:ascii="Calibri" w:hAnsi="Calibri"/>
                <w:sz w:val="18"/>
                <w:szCs w:val="18"/>
              </w:rPr>
              <w:fldChar w:fldCharType="separate"/>
            </w:r>
            <w:r w:rsidRPr="000B5F5F">
              <w:rPr>
                <w:rFonts w:ascii="Calibri" w:hAnsi="Calibri"/>
                <w:noProof/>
                <w:sz w:val="18"/>
                <w:szCs w:val="18"/>
                <w:vertAlign w:val="superscript"/>
              </w:rPr>
              <w:t>1,2</w:t>
            </w:r>
            <w:r>
              <w:rPr>
                <w:rFonts w:ascii="Calibri" w:hAnsi="Calibri"/>
                <w:sz w:val="18"/>
                <w:szCs w:val="18"/>
              </w:rPr>
              <w:fldChar w:fldCharType="end"/>
            </w:r>
          </w:p>
        </w:tc>
      </w:tr>
    </w:tbl>
    <w:p w14:paraId="3674E399" w14:textId="59DFBB20"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r w:rsidRPr="000E477B">
        <w:rPr>
          <w:rFonts w:ascii="Calibri" w:hAnsi="Calibri"/>
          <w:color w:val="FF0080"/>
          <w:sz w:val="20"/>
          <w:szCs w:val="20"/>
        </w:rPr>
        <w:t xml:space="preserve">  </w:t>
      </w:r>
      <w:r w:rsidRPr="000E477B">
        <w:rPr>
          <w:rFonts w:ascii="Wingdings" w:hAnsi="Wingdings"/>
          <w:color w:val="FF0080"/>
          <w:sz w:val="20"/>
          <w:szCs w:val="20"/>
        </w:rPr>
        <w:t></w:t>
      </w:r>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9"/>
          <w:headerReference w:type="default" r:id="rId10"/>
          <w:footerReference w:type="even" r:id="rId11"/>
          <w:footerReference w:type="default" r:id="rId12"/>
          <w:headerReference w:type="first" r:id="rId13"/>
          <w:footerReference w:type="first" r:id="rId14"/>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38D67A5C" w14:textId="77777777" w:rsidR="000B5F5F" w:rsidRPr="00F62B40" w:rsidRDefault="001D584D" w:rsidP="00F62B40">
      <w:pPr>
        <w:spacing w:line="220" w:lineRule="exact"/>
        <w:rPr>
          <w:rFonts w:ascii="Calibri" w:hAnsi="Calibri"/>
          <w:sz w:val="22"/>
          <w:szCs w:val="22"/>
        </w:rPr>
      </w:pPr>
      <w:r w:rsidRPr="001D584D">
        <w:rPr>
          <w:rFonts w:ascii="Calibri" w:hAnsi="Calibri"/>
          <w:noProof/>
          <w:sz w:val="20"/>
          <w:szCs w:val="20"/>
        </w:rPr>
        <w:lastRenderedPageBreak/>
        <w:fldChar w:fldCharType="begin"/>
      </w:r>
      <w:r w:rsidRPr="001D584D">
        <w:rPr>
          <w:rFonts w:ascii="Calibri" w:hAnsi="Calibri"/>
          <w:sz w:val="20"/>
          <w:szCs w:val="20"/>
        </w:rPr>
        <w:instrText xml:space="preserve"> ADDIN EN.REFLIST </w:instrText>
      </w:r>
      <w:r w:rsidRPr="001D584D">
        <w:rPr>
          <w:rFonts w:ascii="Calibri" w:hAnsi="Calibri"/>
          <w:noProof/>
          <w:sz w:val="20"/>
          <w:szCs w:val="20"/>
        </w:rPr>
        <w:fldChar w:fldCharType="separate"/>
      </w:r>
      <w:r w:rsidR="000B5F5F" w:rsidRPr="00F62B40">
        <w:rPr>
          <w:rFonts w:ascii="Calibri" w:hAnsi="Calibri"/>
          <w:sz w:val="22"/>
          <w:szCs w:val="22"/>
        </w:rPr>
        <w:t>1.</w:t>
      </w:r>
      <w:r w:rsidR="000B5F5F" w:rsidRPr="00F62B40">
        <w:rPr>
          <w:rFonts w:ascii="Calibri" w:hAnsi="Calibri"/>
          <w:sz w:val="22"/>
          <w:szCs w:val="22"/>
        </w:rPr>
        <w:tab/>
        <w:t>Sprycel [package insert]. Princeton, NJ: Bristol-Myers Squibb Company; 2015</w:t>
      </w:r>
    </w:p>
    <w:p w14:paraId="0A03424D"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2.</w:t>
      </w:r>
      <w:r w:rsidRPr="00F62B40">
        <w:rPr>
          <w:rFonts w:ascii="Calibri" w:hAnsi="Calibri"/>
          <w:sz w:val="22"/>
          <w:szCs w:val="22"/>
        </w:rPr>
        <w:tab/>
        <w:t>Bosulif [package insert]. New York, NY: Pfizer Labs; 2015.</w:t>
      </w:r>
    </w:p>
    <w:p w14:paraId="0C15618B"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3.</w:t>
      </w:r>
      <w:r w:rsidRPr="00F62B40">
        <w:rPr>
          <w:rFonts w:ascii="Calibri" w:hAnsi="Calibri"/>
          <w:sz w:val="22"/>
          <w:szCs w:val="22"/>
        </w:rPr>
        <w:tab/>
        <w:t>Tasigna [package insert]. East Hanover, NJ: Novartis; 2015.</w:t>
      </w:r>
    </w:p>
    <w:p w14:paraId="2F50A300"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4.</w:t>
      </w:r>
      <w:r w:rsidRPr="00F62B40">
        <w:rPr>
          <w:rFonts w:ascii="Calibri" w:hAnsi="Calibri"/>
          <w:sz w:val="22"/>
          <w:szCs w:val="22"/>
        </w:rPr>
        <w:tab/>
        <w:t>Yin OQ, Giles FJ, Baccarani M, et al. Concurrent use of proton pump inhibitors or H2 blockers did not adversely affect nilotinib efficacy in patients with chronic myeloid leukemia. Cancer Chemother Pharmacol. 2012;70(2):345-350.</w:t>
      </w:r>
    </w:p>
    <w:p w14:paraId="4E3F2BC2"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5.</w:t>
      </w:r>
      <w:r w:rsidRPr="00F62B40">
        <w:rPr>
          <w:rFonts w:ascii="Calibri" w:hAnsi="Calibri"/>
          <w:sz w:val="22"/>
          <w:szCs w:val="22"/>
        </w:rPr>
        <w:tab/>
        <w:t>Iclusig [package insert]. Cambridge, MA: ARIAD Pharmaceuticals, Inc. 2016.</w:t>
      </w:r>
    </w:p>
    <w:p w14:paraId="590CBB99" w14:textId="77777777" w:rsidR="000B5F5F" w:rsidRPr="000B5F5F" w:rsidRDefault="000B5F5F" w:rsidP="00F62B40">
      <w:pPr>
        <w:spacing w:line="220" w:lineRule="exact"/>
      </w:pPr>
      <w:r w:rsidRPr="00F62B40">
        <w:rPr>
          <w:rFonts w:ascii="Calibri" w:hAnsi="Calibri"/>
          <w:sz w:val="22"/>
          <w:szCs w:val="22"/>
        </w:rPr>
        <w:t>6.</w:t>
      </w:r>
      <w:r w:rsidRPr="00F62B40">
        <w:rPr>
          <w:rFonts w:ascii="Calibri" w:hAnsi="Calibri"/>
          <w:sz w:val="22"/>
          <w:szCs w:val="22"/>
        </w:rPr>
        <w:tab/>
        <w:t>Egorin MJ, Shah DD, Christner SM, et al. Effect of a proton pump inhibitor on the pharmacokinetics of imatinib. Br J Clin Pharmacol. 2009;68(3):370-374.</w:t>
      </w:r>
    </w:p>
    <w:p w14:paraId="35721787" w14:textId="77777777" w:rsidR="004C4ADD" w:rsidRDefault="001D584D" w:rsidP="00902E44">
      <w:pPr>
        <w:spacing w:line="200" w:lineRule="exact"/>
        <w:ind w:left="288" w:hanging="288"/>
        <w:rPr>
          <w:rFonts w:ascii="Calibri" w:hAnsi="Calibri"/>
          <w:sz w:val="20"/>
          <w:szCs w:val="20"/>
        </w:rPr>
      </w:pPr>
      <w:r w:rsidRPr="001D584D">
        <w:rPr>
          <w:rFonts w:ascii="Calibri" w:hAnsi="Calibri"/>
          <w:sz w:val="20"/>
          <w:szCs w:val="20"/>
        </w:rPr>
        <w:fldChar w:fldCharType="end"/>
      </w:r>
    </w:p>
    <w:p w14:paraId="385E326C" w14:textId="77777777" w:rsidR="004C4ADD" w:rsidRDefault="004C4ADD" w:rsidP="00902E44">
      <w:pPr>
        <w:spacing w:line="200" w:lineRule="exact"/>
        <w:ind w:left="288" w:hanging="288"/>
        <w:rPr>
          <w:rFonts w:ascii="Calibri" w:hAnsi="Calibri"/>
          <w:sz w:val="20"/>
          <w:szCs w:val="20"/>
        </w:rPr>
      </w:pPr>
    </w:p>
    <w:p w14:paraId="04C13274" w14:textId="77777777" w:rsidR="004C4ADD" w:rsidRDefault="004C4ADD" w:rsidP="00902E44">
      <w:pPr>
        <w:spacing w:line="200" w:lineRule="exact"/>
        <w:ind w:left="288" w:hanging="288"/>
        <w:rPr>
          <w:rFonts w:ascii="Calibri" w:hAnsi="Calibri"/>
          <w:sz w:val="20"/>
          <w:szCs w:val="20"/>
        </w:rPr>
      </w:pPr>
    </w:p>
    <w:p w14:paraId="02B931C2" w14:textId="3EB6A0A9" w:rsidR="004C4ADD" w:rsidRDefault="004C4ADD" w:rsidP="00902E44">
      <w:pPr>
        <w:spacing w:line="200" w:lineRule="exact"/>
        <w:ind w:left="288" w:hanging="288"/>
        <w:rPr>
          <w:rFonts w:ascii="Calibri" w:hAnsi="Calibri"/>
          <w:sz w:val="20"/>
          <w:szCs w:val="20"/>
        </w:rPr>
      </w:pPr>
    </w:p>
    <w:sectPr w:rsidR="004C4ADD"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CE20B" w14:textId="77777777" w:rsidR="005B6FD3" w:rsidRDefault="005B6FD3" w:rsidP="00492D1C">
      <w:r>
        <w:separator/>
      </w:r>
    </w:p>
  </w:endnote>
  <w:endnote w:type="continuationSeparator" w:id="0">
    <w:p w14:paraId="352E0874" w14:textId="77777777" w:rsidR="005B6FD3" w:rsidRDefault="005B6FD3" w:rsidP="004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8816" w14:textId="77777777" w:rsidR="00941C78" w:rsidRDefault="00941C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4489" w14:textId="3C36BAB4" w:rsidR="0045186D" w:rsidRDefault="00941C78" w:rsidP="0045186D">
    <w:pPr>
      <w:pStyle w:val="Footer"/>
      <w:rPr>
        <w:sz w:val="20"/>
        <w:szCs w:val="20"/>
      </w:rPr>
    </w:pPr>
    <w:r>
      <w:rPr>
        <w:sz w:val="20"/>
        <w:szCs w:val="20"/>
      </w:rPr>
      <w:t>NIH Grant</w:t>
    </w:r>
    <w:r w:rsidR="00D96B0D">
      <w:rPr>
        <w:sz w:val="20"/>
        <w:szCs w:val="20"/>
      </w:rPr>
      <w:t>:</w:t>
    </w:r>
    <w:r>
      <w:rPr>
        <w:sz w:val="20"/>
        <w:szCs w:val="20"/>
      </w:rPr>
      <w:t xml:space="preserve"> </w:t>
    </w:r>
    <w:r w:rsidR="00E22B09" w:rsidRPr="00E22B09">
      <w:rPr>
        <w:sz w:val="20"/>
        <w:szCs w:val="20"/>
      </w:rPr>
      <w:t>"Addressing gaps in clinically useful evi</w:t>
    </w:r>
    <w:r w:rsidR="00E22B09">
      <w:rPr>
        <w:sz w:val="20"/>
        <w:szCs w:val="20"/>
      </w:rPr>
      <w:t>dence on drug-drug interactions”</w:t>
    </w:r>
    <w:r w:rsidR="00E22B09" w:rsidRPr="00E22B09">
      <w:rPr>
        <w:sz w:val="20"/>
        <w:szCs w:val="20"/>
      </w:rPr>
      <w:t xml:space="preserve"> (1R01LM011838-01)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627B7" w14:textId="77777777" w:rsidR="00941C78" w:rsidRDefault="00941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F104" w14:textId="77777777" w:rsidR="005B6FD3" w:rsidRDefault="005B6FD3" w:rsidP="00492D1C">
      <w:r>
        <w:separator/>
      </w:r>
    </w:p>
  </w:footnote>
  <w:footnote w:type="continuationSeparator" w:id="0">
    <w:p w14:paraId="2EE006A4" w14:textId="77777777" w:rsidR="005B6FD3" w:rsidRDefault="005B6FD3" w:rsidP="0049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E0D6" w14:textId="543A5434" w:rsidR="00492D1C" w:rsidRDefault="00335053">
    <w:pPr>
      <w:pStyle w:val="Header"/>
    </w:pPr>
    <w:r>
      <w:rPr>
        <w:noProof/>
      </w:rPr>
      <w:pict w14:anchorId="76EF4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1" o:spid="_x0000_s2050" type="#_x0000_t136" style="position:absolute;margin-left:0;margin-top:0;width:653.9pt;height:76.9pt;rotation:315;z-index:-251655168;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65E5" w14:textId="7947860D" w:rsidR="00492D1C" w:rsidRDefault="00335053">
    <w:pPr>
      <w:pStyle w:val="Header"/>
    </w:pPr>
    <w:r>
      <w:rPr>
        <w:noProof/>
      </w:rPr>
      <w:pict w14:anchorId="2C37F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2" o:spid="_x0000_s2051" type="#_x0000_t136" style="position:absolute;margin-left:0;margin-top:0;width:653.9pt;height:76.9pt;rotation:315;z-index:-251653120;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D20CA" w14:textId="4A89212B" w:rsidR="00492D1C" w:rsidRDefault="00335053">
    <w:pPr>
      <w:pStyle w:val="Header"/>
    </w:pPr>
    <w:r>
      <w:rPr>
        <w:noProof/>
      </w:rPr>
      <w:pict w14:anchorId="1347F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608750" o:spid="_x0000_s2049" type="#_x0000_t136" style="position:absolute;margin-left:0;margin-top:0;width:653.9pt;height:76.9pt;rotation:315;z-index:-251657216;mso-position-horizontal:center;mso-position-horizontal-relative:margin;mso-position-vertical:center;mso-position-vertical-relative:margin" o:allowincell="f" fillcolor="silver" stroked="f">
          <v:fill opacity=".5"/>
          <v:textpath style="font-family:&quot;Verdana&quot;;font-size:1pt" string="DO NOT SHA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6B"/>
    <w:multiLevelType w:val="hybridMultilevel"/>
    <w:tmpl w:val="20E666D0"/>
    <w:lvl w:ilvl="0" w:tplc="DB90A1A0">
      <w:start w:val="1"/>
      <w:numFmt w:val="bullet"/>
      <w:lvlText w:val=""/>
      <w:lvlJc w:val="left"/>
      <w:pPr>
        <w:ind w:left="0" w:firstLine="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7324"/>
    <w:multiLevelType w:val="multilevel"/>
    <w:tmpl w:val="C3A8AB4C"/>
    <w:lvl w:ilvl="0">
      <w:start w:val="1"/>
      <w:numFmt w:val="bullet"/>
      <w:lvlText w:val=""/>
      <w:lvlJc w:val="left"/>
      <w:pPr>
        <w:ind w:left="72"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8907822"/>
    <w:multiLevelType w:val="hybridMultilevel"/>
    <w:tmpl w:val="633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26B51"/>
    <w:multiLevelType w:val="multilevel"/>
    <w:tmpl w:val="A07067E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C7228EB"/>
    <w:multiLevelType w:val="hybridMultilevel"/>
    <w:tmpl w:val="A07067EA"/>
    <w:lvl w:ilvl="0" w:tplc="04090001">
      <w:start w:val="1"/>
      <w:numFmt w:val="bullet"/>
      <w:lvlText w:val=""/>
      <w:lvlJc w:val="left"/>
      <w:pPr>
        <w:ind w:left="720" w:hanging="36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C7522"/>
    <w:multiLevelType w:val="multilevel"/>
    <w:tmpl w:val="0FF812F0"/>
    <w:lvl w:ilvl="0">
      <w:start w:val="1"/>
      <w:numFmt w:val="bullet"/>
      <w:lvlText w:val=""/>
      <w:lvlJc w:val="left"/>
      <w:pPr>
        <w:ind w:left="216"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88529B4"/>
    <w:multiLevelType w:val="hybridMultilevel"/>
    <w:tmpl w:val="0FF812F0"/>
    <w:lvl w:ilvl="0" w:tplc="16006418">
      <w:start w:val="1"/>
      <w:numFmt w:val="bullet"/>
      <w:lvlText w:val=""/>
      <w:lvlJc w:val="left"/>
      <w:pPr>
        <w:ind w:left="216"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06AB5"/>
    <w:multiLevelType w:val="hybridMultilevel"/>
    <w:tmpl w:val="C3A8AB4C"/>
    <w:lvl w:ilvl="0" w:tplc="7072370E">
      <w:start w:val="1"/>
      <w:numFmt w:val="bullet"/>
      <w:lvlText w:val=""/>
      <w:lvlJc w:val="left"/>
      <w:pPr>
        <w:ind w:left="72"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JAMA&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9v5pstyfaf97eza2qpe92ue5sd5a05p9x2&quot;&gt;Tyrosine Kinase Inhibitors&lt;record-ids&gt;&lt;item&gt;2&lt;/item&gt;&lt;item&gt;3&lt;/item&gt;&lt;item&gt;4&lt;/item&gt;&lt;item&gt;5&lt;/item&gt;&lt;item&gt;6&lt;/item&gt;&lt;item&gt;13&lt;/item&gt;&lt;/record-ids&gt;&lt;/item&gt;&lt;/Libraries&gt;"/>
  </w:docVars>
  <w:rsids>
    <w:rsidRoot w:val="005C1B31"/>
    <w:rsid w:val="000334D9"/>
    <w:rsid w:val="0004601B"/>
    <w:rsid w:val="0005566E"/>
    <w:rsid w:val="00094C27"/>
    <w:rsid w:val="000B3E9E"/>
    <w:rsid w:val="000B5F5F"/>
    <w:rsid w:val="000D4D6D"/>
    <w:rsid w:val="000E477B"/>
    <w:rsid w:val="000F326C"/>
    <w:rsid w:val="001323ED"/>
    <w:rsid w:val="001C56B0"/>
    <w:rsid w:val="001D584D"/>
    <w:rsid w:val="00216700"/>
    <w:rsid w:val="00221FA2"/>
    <w:rsid w:val="00276529"/>
    <w:rsid w:val="002A1FFE"/>
    <w:rsid w:val="002A2B3D"/>
    <w:rsid w:val="002A3E99"/>
    <w:rsid w:val="0031012F"/>
    <w:rsid w:val="00335053"/>
    <w:rsid w:val="00335147"/>
    <w:rsid w:val="003D7916"/>
    <w:rsid w:val="003E2D87"/>
    <w:rsid w:val="003E37D5"/>
    <w:rsid w:val="00422449"/>
    <w:rsid w:val="00431727"/>
    <w:rsid w:val="00434D64"/>
    <w:rsid w:val="0045186D"/>
    <w:rsid w:val="00492D1C"/>
    <w:rsid w:val="004B6A38"/>
    <w:rsid w:val="004C4ADD"/>
    <w:rsid w:val="00510A05"/>
    <w:rsid w:val="00546AF6"/>
    <w:rsid w:val="00583B31"/>
    <w:rsid w:val="005A65DD"/>
    <w:rsid w:val="005B6FD3"/>
    <w:rsid w:val="005C1399"/>
    <w:rsid w:val="005C1B31"/>
    <w:rsid w:val="00612338"/>
    <w:rsid w:val="00672F87"/>
    <w:rsid w:val="006D00F9"/>
    <w:rsid w:val="00741F7A"/>
    <w:rsid w:val="007A1060"/>
    <w:rsid w:val="007D2E51"/>
    <w:rsid w:val="00827439"/>
    <w:rsid w:val="008D7E82"/>
    <w:rsid w:val="008E3B37"/>
    <w:rsid w:val="00902E44"/>
    <w:rsid w:val="00915969"/>
    <w:rsid w:val="00941C78"/>
    <w:rsid w:val="00A038CE"/>
    <w:rsid w:val="00A12539"/>
    <w:rsid w:val="00A23DBD"/>
    <w:rsid w:val="00AC749D"/>
    <w:rsid w:val="00B055D5"/>
    <w:rsid w:val="00B300A4"/>
    <w:rsid w:val="00B34DAF"/>
    <w:rsid w:val="00BA7FA8"/>
    <w:rsid w:val="00BE79B8"/>
    <w:rsid w:val="00BF13F6"/>
    <w:rsid w:val="00BF7EC8"/>
    <w:rsid w:val="00C21017"/>
    <w:rsid w:val="00C308CE"/>
    <w:rsid w:val="00C740C7"/>
    <w:rsid w:val="00CC093F"/>
    <w:rsid w:val="00CD1DD1"/>
    <w:rsid w:val="00CE2944"/>
    <w:rsid w:val="00D23B91"/>
    <w:rsid w:val="00D427F3"/>
    <w:rsid w:val="00D6128E"/>
    <w:rsid w:val="00D873F3"/>
    <w:rsid w:val="00D96B0D"/>
    <w:rsid w:val="00DB31C9"/>
    <w:rsid w:val="00E22B09"/>
    <w:rsid w:val="00F10957"/>
    <w:rsid w:val="00F234D2"/>
    <w:rsid w:val="00F32FC4"/>
    <w:rsid w:val="00F62B40"/>
    <w:rsid w:val="00FB3F59"/>
    <w:rsid w:val="00FF2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 w:type="character" w:styleId="CommentReference">
    <w:name w:val="annotation reference"/>
    <w:basedOn w:val="DefaultParagraphFont"/>
    <w:uiPriority w:val="99"/>
    <w:semiHidden/>
    <w:unhideWhenUsed/>
    <w:rsid w:val="000334D9"/>
    <w:rPr>
      <w:sz w:val="16"/>
      <w:szCs w:val="16"/>
    </w:rPr>
  </w:style>
  <w:style w:type="paragraph" w:styleId="CommentText">
    <w:name w:val="annotation text"/>
    <w:basedOn w:val="Normal"/>
    <w:link w:val="CommentTextChar"/>
    <w:uiPriority w:val="99"/>
    <w:semiHidden/>
    <w:unhideWhenUsed/>
    <w:rsid w:val="000334D9"/>
    <w:rPr>
      <w:sz w:val="20"/>
      <w:szCs w:val="20"/>
    </w:rPr>
  </w:style>
  <w:style w:type="character" w:customStyle="1" w:styleId="CommentTextChar">
    <w:name w:val="Comment Text Char"/>
    <w:basedOn w:val="DefaultParagraphFont"/>
    <w:link w:val="CommentText"/>
    <w:uiPriority w:val="99"/>
    <w:semiHidden/>
    <w:rsid w:val="000334D9"/>
    <w:rPr>
      <w:sz w:val="20"/>
      <w:szCs w:val="20"/>
    </w:rPr>
  </w:style>
  <w:style w:type="paragraph" w:styleId="CommentSubject">
    <w:name w:val="annotation subject"/>
    <w:basedOn w:val="CommentText"/>
    <w:next w:val="CommentText"/>
    <w:link w:val="CommentSubjectChar"/>
    <w:uiPriority w:val="99"/>
    <w:semiHidden/>
    <w:unhideWhenUsed/>
    <w:rsid w:val="000334D9"/>
    <w:rPr>
      <w:b/>
      <w:bCs/>
    </w:rPr>
  </w:style>
  <w:style w:type="character" w:customStyle="1" w:styleId="CommentSubjectChar">
    <w:name w:val="Comment Subject Char"/>
    <w:basedOn w:val="CommentTextChar"/>
    <w:link w:val="CommentSubject"/>
    <w:uiPriority w:val="99"/>
    <w:semiHidden/>
    <w:rsid w:val="000334D9"/>
    <w:rPr>
      <w:b/>
      <w:bCs/>
      <w:sz w:val="20"/>
      <w:szCs w:val="20"/>
    </w:rPr>
  </w:style>
  <w:style w:type="paragraph" w:styleId="BalloonText">
    <w:name w:val="Balloon Text"/>
    <w:basedOn w:val="Normal"/>
    <w:link w:val="BalloonTextChar"/>
    <w:uiPriority w:val="99"/>
    <w:semiHidden/>
    <w:unhideWhenUsed/>
    <w:rsid w:val="000334D9"/>
    <w:rPr>
      <w:rFonts w:ascii="Tahoma" w:hAnsi="Tahoma" w:cs="Tahoma"/>
      <w:sz w:val="16"/>
      <w:szCs w:val="16"/>
    </w:rPr>
  </w:style>
  <w:style w:type="character" w:customStyle="1" w:styleId="BalloonTextChar">
    <w:name w:val="Balloon Text Char"/>
    <w:basedOn w:val="DefaultParagraphFont"/>
    <w:link w:val="BalloonText"/>
    <w:uiPriority w:val="99"/>
    <w:semiHidden/>
    <w:rsid w:val="000334D9"/>
    <w:rPr>
      <w:rFonts w:ascii="Tahoma" w:hAnsi="Tahoma" w:cs="Tahoma"/>
      <w:sz w:val="16"/>
      <w:szCs w:val="16"/>
    </w:rPr>
  </w:style>
  <w:style w:type="paragraph" w:customStyle="1" w:styleId="EndNoteBibliographyTitle">
    <w:name w:val="EndNote Bibliography Title"/>
    <w:basedOn w:val="Normal"/>
    <w:link w:val="EndNoteBibliographyTitleChar"/>
    <w:rsid w:val="001D584D"/>
    <w:pPr>
      <w:jc w:val="center"/>
    </w:pPr>
    <w:rPr>
      <w:noProof/>
    </w:rPr>
  </w:style>
  <w:style w:type="character" w:customStyle="1" w:styleId="EndNoteBibliographyTitleChar">
    <w:name w:val="EndNote Bibliography Title Char"/>
    <w:basedOn w:val="DefaultParagraphFont"/>
    <w:link w:val="EndNoteBibliographyTitle"/>
    <w:rsid w:val="001D584D"/>
    <w:rPr>
      <w:noProof/>
    </w:rPr>
  </w:style>
  <w:style w:type="paragraph" w:customStyle="1" w:styleId="EndNoteBibliography">
    <w:name w:val="EndNote Bibliography"/>
    <w:basedOn w:val="Normal"/>
    <w:link w:val="EndNoteBibliographyChar"/>
    <w:rsid w:val="001D584D"/>
    <w:rPr>
      <w:noProof/>
    </w:rPr>
  </w:style>
  <w:style w:type="character" w:customStyle="1" w:styleId="EndNoteBibliographyChar">
    <w:name w:val="EndNote Bibliography Char"/>
    <w:basedOn w:val="DefaultParagraphFont"/>
    <w:link w:val="EndNoteBibliography"/>
    <w:rsid w:val="001D584D"/>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 w:type="character" w:styleId="CommentReference">
    <w:name w:val="annotation reference"/>
    <w:basedOn w:val="DefaultParagraphFont"/>
    <w:uiPriority w:val="99"/>
    <w:semiHidden/>
    <w:unhideWhenUsed/>
    <w:rsid w:val="000334D9"/>
    <w:rPr>
      <w:sz w:val="16"/>
      <w:szCs w:val="16"/>
    </w:rPr>
  </w:style>
  <w:style w:type="paragraph" w:styleId="CommentText">
    <w:name w:val="annotation text"/>
    <w:basedOn w:val="Normal"/>
    <w:link w:val="CommentTextChar"/>
    <w:uiPriority w:val="99"/>
    <w:semiHidden/>
    <w:unhideWhenUsed/>
    <w:rsid w:val="000334D9"/>
    <w:rPr>
      <w:sz w:val="20"/>
      <w:szCs w:val="20"/>
    </w:rPr>
  </w:style>
  <w:style w:type="character" w:customStyle="1" w:styleId="CommentTextChar">
    <w:name w:val="Comment Text Char"/>
    <w:basedOn w:val="DefaultParagraphFont"/>
    <w:link w:val="CommentText"/>
    <w:uiPriority w:val="99"/>
    <w:semiHidden/>
    <w:rsid w:val="000334D9"/>
    <w:rPr>
      <w:sz w:val="20"/>
      <w:szCs w:val="20"/>
    </w:rPr>
  </w:style>
  <w:style w:type="paragraph" w:styleId="CommentSubject">
    <w:name w:val="annotation subject"/>
    <w:basedOn w:val="CommentText"/>
    <w:next w:val="CommentText"/>
    <w:link w:val="CommentSubjectChar"/>
    <w:uiPriority w:val="99"/>
    <w:semiHidden/>
    <w:unhideWhenUsed/>
    <w:rsid w:val="000334D9"/>
    <w:rPr>
      <w:b/>
      <w:bCs/>
    </w:rPr>
  </w:style>
  <w:style w:type="character" w:customStyle="1" w:styleId="CommentSubjectChar">
    <w:name w:val="Comment Subject Char"/>
    <w:basedOn w:val="CommentTextChar"/>
    <w:link w:val="CommentSubject"/>
    <w:uiPriority w:val="99"/>
    <w:semiHidden/>
    <w:rsid w:val="000334D9"/>
    <w:rPr>
      <w:b/>
      <w:bCs/>
      <w:sz w:val="20"/>
      <w:szCs w:val="20"/>
    </w:rPr>
  </w:style>
  <w:style w:type="paragraph" w:styleId="BalloonText">
    <w:name w:val="Balloon Text"/>
    <w:basedOn w:val="Normal"/>
    <w:link w:val="BalloonTextChar"/>
    <w:uiPriority w:val="99"/>
    <w:semiHidden/>
    <w:unhideWhenUsed/>
    <w:rsid w:val="000334D9"/>
    <w:rPr>
      <w:rFonts w:ascii="Tahoma" w:hAnsi="Tahoma" w:cs="Tahoma"/>
      <w:sz w:val="16"/>
      <w:szCs w:val="16"/>
    </w:rPr>
  </w:style>
  <w:style w:type="character" w:customStyle="1" w:styleId="BalloonTextChar">
    <w:name w:val="Balloon Text Char"/>
    <w:basedOn w:val="DefaultParagraphFont"/>
    <w:link w:val="BalloonText"/>
    <w:uiPriority w:val="99"/>
    <w:semiHidden/>
    <w:rsid w:val="000334D9"/>
    <w:rPr>
      <w:rFonts w:ascii="Tahoma" w:hAnsi="Tahoma" w:cs="Tahoma"/>
      <w:sz w:val="16"/>
      <w:szCs w:val="16"/>
    </w:rPr>
  </w:style>
  <w:style w:type="paragraph" w:customStyle="1" w:styleId="EndNoteBibliographyTitle">
    <w:name w:val="EndNote Bibliography Title"/>
    <w:basedOn w:val="Normal"/>
    <w:link w:val="EndNoteBibliographyTitleChar"/>
    <w:rsid w:val="001D584D"/>
    <w:pPr>
      <w:jc w:val="center"/>
    </w:pPr>
    <w:rPr>
      <w:noProof/>
    </w:rPr>
  </w:style>
  <w:style w:type="character" w:customStyle="1" w:styleId="EndNoteBibliographyTitleChar">
    <w:name w:val="EndNote Bibliography Title Char"/>
    <w:basedOn w:val="DefaultParagraphFont"/>
    <w:link w:val="EndNoteBibliographyTitle"/>
    <w:rsid w:val="001D584D"/>
    <w:rPr>
      <w:noProof/>
    </w:rPr>
  </w:style>
  <w:style w:type="paragraph" w:customStyle="1" w:styleId="EndNoteBibliography">
    <w:name w:val="EndNote Bibliography"/>
    <w:basedOn w:val="Normal"/>
    <w:link w:val="EndNoteBibliographyChar"/>
    <w:rsid w:val="001D584D"/>
    <w:rPr>
      <w:noProof/>
    </w:rPr>
  </w:style>
  <w:style w:type="character" w:customStyle="1" w:styleId="EndNoteBibliographyChar">
    <w:name w:val="EndNote Bibliography Char"/>
    <w:basedOn w:val="DefaultParagraphFont"/>
    <w:link w:val="EndNoteBibliography"/>
    <w:rsid w:val="001D58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4922F-5DD1-40D3-9C23-832311BB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Hansten</dc:creator>
  <cp:lastModifiedBy>Boyce, Richard David</cp:lastModifiedBy>
  <cp:revision>6</cp:revision>
  <cp:lastPrinted>2016-05-10T16:18:00Z</cp:lastPrinted>
  <dcterms:created xsi:type="dcterms:W3CDTF">2016-10-24T13:39:00Z</dcterms:created>
  <dcterms:modified xsi:type="dcterms:W3CDTF">2016-11-16T18:42:00Z</dcterms:modified>
</cp:coreProperties>
</file>